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Ex2.xml" ContentType="application/vnd.ms-office.chartex+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D8D3" w14:textId="77777777" w:rsidR="003856EE" w:rsidRDefault="00D518E8" w:rsidP="003856EE">
      <w:pPr>
        <w:ind w:left="0"/>
      </w:pPr>
      <w:r>
        <w:rPr>
          <w:noProof/>
        </w:rPr>
        <mc:AlternateContent>
          <mc:Choice Requires="wps">
            <w:drawing>
              <wp:inline distT="0" distB="0" distL="0" distR="0" wp14:anchorId="650D3386" wp14:editId="467E822E">
                <wp:extent cx="6037580" cy="7291346"/>
                <wp:effectExtent l="0" t="0" r="20320" b="24130"/>
                <wp:docPr id="351427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7580" cy="7291346"/>
                        </a:xfrm>
                        <a:prstGeom prst="rect">
                          <a:avLst/>
                        </a:prstGeom>
                        <a:solidFill>
                          <a:srgbClr val="005BBB"/>
                        </a:solidFill>
                        <a:ln w="6350">
                          <a:solidFill>
                            <a:srgbClr val="000000"/>
                          </a:solidFill>
                          <a:miter lim="800000"/>
                          <a:headEnd/>
                          <a:tailEnd/>
                        </a:ln>
                      </wps:spPr>
                      <wps:txbx>
                        <w:txbxContent>
                          <w:p w14:paraId="1C133C30" w14:textId="77777777" w:rsidR="00AC5D6D" w:rsidRPr="00F9404C" w:rsidRDefault="00D518E8" w:rsidP="00AC5D6D">
                            <w:pPr>
                              <w:pStyle w:val="Title"/>
                              <w:ind w:left="630" w:right="570"/>
                              <w:jc w:val="center"/>
                              <w:rPr>
                                <w:sz w:val="52"/>
                              </w:rPr>
                            </w:pPr>
                            <w:r w:rsidRPr="00F9404C">
                              <w:rPr>
                                <w:sz w:val="52"/>
                              </w:rPr>
                              <w:t>Annual Operating Budget Report</w:t>
                            </w:r>
                          </w:p>
                          <w:p w14:paraId="28F8BAF5" w14:textId="77777777" w:rsidR="00AC5D6D" w:rsidRPr="006D1D58" w:rsidRDefault="00FF14EC" w:rsidP="006D1D58">
                            <w:pPr>
                              <w:ind w:left="630" w:right="570"/>
                              <w:jc w:val="center"/>
                              <w:rPr>
                                <w:color w:val="FFFFFF" w:themeColor="background1"/>
                                <w:sz w:val="44"/>
                                <w:szCs w:val="44"/>
                              </w:rPr>
                            </w:pPr>
                            <w:sdt>
                              <w:sdtPr>
                                <w:alias w:val="CurrentYear XXXX/XXXX"/>
                                <w:tag w:val="&lt;ReportPackage&gt;&lt;Variable id=&quot;75ef574e-6368-4639-bee0-3a88537f0c27&quot; usageType=&quot;Value&quot;/&gt;&lt;/ReportPackage&gt;"/>
                                <w:id w:val="1786918138"/>
                                <w:placeholder>
                                  <w:docPart w:val="DefaultPlaceholder_-1854013440"/>
                                </w:placeholder>
                                <w:text/>
                              </w:sdtPr>
                              <w:sdtEndPr/>
                              <w:sdtContent>
                                <w:r w:rsidR="00D518E8" w:rsidRPr="006D1D58">
                                  <w:rPr>
                                    <w:color w:val="FFFFFF" w:themeColor="background1"/>
                                    <w:sz w:val="44"/>
                                    <w:szCs w:val="44"/>
                                  </w:rPr>
                                  <w:t>2026/2027</w:t>
                                </w:r>
                              </w:sdtContent>
                            </w:sdt>
                          </w:p>
                          <w:p w14:paraId="69290159" w14:textId="77777777" w:rsidR="00AC5D6D" w:rsidRPr="00AC5D6D" w:rsidRDefault="00AC5D6D" w:rsidP="00AC5D6D">
                            <w:pPr>
                              <w:ind w:left="630" w:right="570"/>
                              <w:rPr>
                                <w:color w:val="FFFFFF" w:themeColor="background1"/>
                              </w:rPr>
                            </w:pPr>
                          </w:p>
                          <w:p w14:paraId="6525A3F3" w14:textId="77777777" w:rsidR="00AC5D6D" w:rsidRDefault="00D518E8" w:rsidP="00AC5D6D">
                            <w:pPr>
                              <w:jc w:val="center"/>
                              <w:rPr>
                                <w:color w:val="FFFFFF" w:themeColor="background1"/>
                              </w:rPr>
                            </w:pPr>
                            <w:r w:rsidRPr="00AC5D6D">
                              <w:rPr>
                                <w:color w:val="FFFFFF" w:themeColor="background1"/>
                              </w:rPr>
                              <w:t xml:space="preserve">This University at Buffalo (UB) Annual Operating Budget Report is a comprehensive presentation of the university’s </w:t>
                            </w:r>
                            <w:sdt>
                              <w:sdtPr>
                                <w:rPr>
                                  <w:color w:val="FFFFFF" w:themeColor="background1"/>
                                </w:rPr>
                                <w:alias w:val="CurrentYear XXXX/XXXX"/>
                                <w:tag w:val="&lt;ReportPackage&gt;&lt;Variable id=&quot;75ef574e-6368-4639-bee0-3a88537f0c27&quot; usageType=&quot;Value&quot;/&gt;&lt;/ReportPackage&gt;"/>
                                <w:id w:val="-975912397"/>
                                <w:placeholder>
                                  <w:docPart w:val="DefaultPlaceholder_-1854013440"/>
                                </w:placeholder>
                                <w:text/>
                              </w:sdtPr>
                              <w:sdtEndPr/>
                              <w:sdtContent>
                                <w:r w:rsidR="006D1D58">
                                  <w:rPr>
                                    <w:color w:val="FFFFFF" w:themeColor="background1"/>
                                  </w:rPr>
                                  <w:t>2026/2027</w:t>
                                </w:r>
                              </w:sdtContent>
                            </w:sdt>
                            <w:r w:rsidR="002C0D14">
                              <w:rPr>
                                <w:color w:val="FFFFFF" w:themeColor="background1"/>
                              </w:rPr>
                              <w:t xml:space="preserve"> </w:t>
                            </w:r>
                            <w:r w:rsidRPr="00AC5D6D">
                              <w:rPr>
                                <w:color w:val="FFFFFF" w:themeColor="background1"/>
                              </w:rPr>
                              <w:t>budget and investment priorities</w:t>
                            </w:r>
                            <w:r w:rsidR="002C0D14">
                              <w:rPr>
                                <w:color w:val="FFFFFF" w:themeColor="background1"/>
                              </w:rPr>
                              <w:t>.</w:t>
                            </w:r>
                          </w:p>
                          <w:p w14:paraId="700F7B57" w14:textId="77777777" w:rsidR="00AC5D6D" w:rsidRDefault="00AC5D6D" w:rsidP="00AC5D6D">
                            <w:pPr>
                              <w:jc w:val="center"/>
                              <w:rPr>
                                <w:color w:val="FFFFFF" w:themeColor="background1"/>
                              </w:rPr>
                            </w:pPr>
                          </w:p>
                          <w:p w14:paraId="1CFB9F2F" w14:textId="77777777" w:rsidR="003856EE" w:rsidRPr="002F7476" w:rsidRDefault="00D518E8" w:rsidP="00676844">
                            <w:pPr>
                              <w:jc w:val="center"/>
                            </w:pPr>
                            <w:r>
                              <w:rPr>
                                <w:noProof/>
                              </w:rPr>
                              <w:drawing>
                                <wp:inline distT="0" distB="0" distL="0" distR="0" wp14:anchorId="1C69D431" wp14:editId="22FE10B4">
                                  <wp:extent cx="5488305" cy="4114165"/>
                                  <wp:effectExtent l="0" t="0" r="0" b="635"/>
                                  <wp:docPr id="721674049" name="Picture 9" title="UB division of Finance and Administration logo and UB Buffalo crest image">
                                    <a:extLst xmlns:a="http://schemas.openxmlformats.org/drawingml/2006/main">
                                      <a:ext uri="{FF2B5EF4-FFF2-40B4-BE49-F238E27FC236}">
                                        <a16:creationId xmlns:a16="http://schemas.microsoft.com/office/drawing/2014/main" id="{08D4AD1D-25F9-6AA8-7F78-4FDF741BD4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74049" name="Picture 9">
                                            <a:extLst>
                                              <a:ext uri="{FF2B5EF4-FFF2-40B4-BE49-F238E27FC236}">
                                                <a16:creationId xmlns:a16="http://schemas.microsoft.com/office/drawing/2014/main" id="{08D4AD1D-25F9-6AA8-7F78-4FDF741BD4DD}"/>
                                              </a:ext>
                                            </a:extLst>
                                          </pic:cNvPr>
                                          <pic:cNvPicPr>
                                            <a:picLocks noChangeAspect="1"/>
                                          </pic:cNvPicPr>
                                        </pic:nvPicPr>
                                        <pic:blipFill>
                                          <a:blip r:embed="rId10"/>
                                          <a:srcRect l="1956" t="1213" r="1956" b="1213"/>
                                          <a:stretch>
                                            <a:fillRect/>
                                          </a:stretch>
                                        </pic:blipFill>
                                        <pic:spPr bwMode="auto">
                                          <a:xfrm>
                                            <a:off x="0" y="0"/>
                                            <a:ext cx="5488305" cy="411416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wps:wsp>
                  </a:graphicData>
                </a:graphic>
              </wp:inline>
            </w:drawing>
          </mc:Choice>
          <mc:Fallback>
            <w:pict>
              <v:shapetype w14:anchorId="650D3386" id="_x0000_t202" coordsize="21600,21600" o:spt="202" path="m,l,21600r21600,l21600,xe">
                <v:stroke joinstyle="miter"/>
                <v:path gradientshapeok="t" o:connecttype="rect"/>
              </v:shapetype>
              <v:shape id="Text Box 5" o:spid="_x0000_s1026" type="#_x0000_t202" style="width:475.4pt;height:57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" fillcolor="#005bbb" strokeweight=".5pt">
                <v:textbox>
                  <w:txbxContent>
                    <w:p w14:paraId="1C133C30" w14:textId="77777777" w:rsidR="00AC5D6D" w:rsidRPr="00F9404C" w:rsidRDefault="00D518E8" w:rsidP="00AC5D6D">
                      <w:pPr>
                        <w:pStyle w:val="Title"/>
                        <w:ind w:left="630" w:right="570"/>
                        <w:jc w:val="center"/>
                        <w:rPr>
                          <w:sz w:val="52"/>
                        </w:rPr>
                      </w:pPr>
                      <w:r w:rsidRPr="00F9404C">
                        <w:rPr>
                          <w:sz w:val="52"/>
                        </w:rPr>
                        <w:t>Annual Operating Budget Report</w:t>
                      </w:r>
                    </w:p>
                    <w:p w14:paraId="28F8BAF5" w14:textId="77777777" w:rsidR="00AC5D6D" w:rsidRPr="006D1D58" w:rsidRDefault="00FF14EC" w:rsidP="006D1D58">
                      <w:pPr>
                        <w:ind w:left="630" w:right="570"/>
                        <w:jc w:val="center"/>
                        <w:rPr>
                          <w:color w:val="FFFFFF" w:themeColor="background1"/>
                          <w:sz w:val="44"/>
                          <w:szCs w:val="44"/>
                        </w:rPr>
                      </w:pPr>
                      <w:sdt>
                        <w:sdtPr>
                          <w:alias w:val="CurrentYear XXXX/XXXX"/>
                          <w:tag w:val="&lt;ReportPackage&gt;&lt;Variable id=&quot;75ef574e-6368-4639-bee0-3a88537f0c27&quot; usageType=&quot;Value&quot;/&gt;&lt;/ReportPackage&gt;"/>
                          <w:id w:val="1786918138"/>
                          <w:placeholder>
                            <w:docPart w:val="DefaultPlaceholder_-1854013440"/>
                          </w:placeholder>
                          <w:text/>
                        </w:sdtPr>
                        <w:sdtEndPr/>
                        <w:sdtContent>
                          <w:r w:rsidR="00D518E8" w:rsidRPr="006D1D58">
                            <w:rPr>
                              <w:color w:val="FFFFFF" w:themeColor="background1"/>
                              <w:sz w:val="44"/>
                              <w:szCs w:val="44"/>
                            </w:rPr>
                            <w:t>2026/2027</w:t>
                          </w:r>
                        </w:sdtContent>
                      </w:sdt>
                    </w:p>
                    <w:p w14:paraId="69290159" w14:textId="77777777" w:rsidR="00AC5D6D" w:rsidRPr="00AC5D6D" w:rsidRDefault="00AC5D6D" w:rsidP="00AC5D6D">
                      <w:pPr>
                        <w:ind w:left="630" w:right="570"/>
                        <w:rPr>
                          <w:color w:val="FFFFFF" w:themeColor="background1"/>
                        </w:rPr>
                      </w:pPr>
                    </w:p>
                    <w:p w14:paraId="6525A3F3" w14:textId="77777777" w:rsidR="00AC5D6D" w:rsidRDefault="00D518E8" w:rsidP="00AC5D6D">
                      <w:pPr>
                        <w:jc w:val="center"/>
                        <w:rPr>
                          <w:color w:val="FFFFFF" w:themeColor="background1"/>
                        </w:rPr>
                      </w:pPr>
                      <w:r w:rsidRPr="00AC5D6D">
                        <w:rPr>
                          <w:color w:val="FFFFFF" w:themeColor="background1"/>
                        </w:rPr>
                        <w:t xml:space="preserve">This University at Buffalo (UB) Annual Operating Budget Report is a comprehensive presentation of the university’s </w:t>
                      </w:r>
                      <w:sdt>
                        <w:sdtPr>
                          <w:rPr>
                            <w:color w:val="FFFFFF" w:themeColor="background1"/>
                          </w:rPr>
                          <w:alias w:val="CurrentYear XXXX/XXXX"/>
                          <w:tag w:val="&lt;ReportPackage&gt;&lt;Variable id=&quot;75ef574e-6368-4639-bee0-3a88537f0c27&quot; usageType=&quot;Value&quot;/&gt;&lt;/ReportPackage&gt;"/>
                          <w:id w:val="-975912397"/>
                          <w:placeholder>
                            <w:docPart w:val="DefaultPlaceholder_-1854013440"/>
                          </w:placeholder>
                          <w:text/>
                        </w:sdtPr>
                        <w:sdtEndPr/>
                        <w:sdtContent>
                          <w:r w:rsidR="006D1D58">
                            <w:rPr>
                              <w:color w:val="FFFFFF" w:themeColor="background1"/>
                            </w:rPr>
                            <w:t>2026/2027</w:t>
                          </w:r>
                        </w:sdtContent>
                      </w:sdt>
                      <w:r w:rsidR="002C0D14">
                        <w:rPr>
                          <w:color w:val="FFFFFF" w:themeColor="background1"/>
                        </w:rPr>
                        <w:t xml:space="preserve"> </w:t>
                      </w:r>
                      <w:r w:rsidRPr="00AC5D6D">
                        <w:rPr>
                          <w:color w:val="FFFFFF" w:themeColor="background1"/>
                        </w:rPr>
                        <w:t>budget and investment priorities</w:t>
                      </w:r>
                      <w:r w:rsidR="002C0D14">
                        <w:rPr>
                          <w:color w:val="FFFFFF" w:themeColor="background1"/>
                        </w:rPr>
                        <w:t>.</w:t>
                      </w:r>
                    </w:p>
                    <w:p w14:paraId="700F7B57" w14:textId="77777777" w:rsidR="00AC5D6D" w:rsidRDefault="00AC5D6D" w:rsidP="00AC5D6D">
                      <w:pPr>
                        <w:jc w:val="center"/>
                        <w:rPr>
                          <w:color w:val="FFFFFF" w:themeColor="background1"/>
                        </w:rPr>
                      </w:pPr>
                    </w:p>
                    <w:p w14:paraId="1CFB9F2F" w14:textId="77777777" w:rsidR="003856EE" w:rsidRPr="002F7476" w:rsidRDefault="00D518E8" w:rsidP="00676844">
                      <w:pPr>
                        <w:jc w:val="center"/>
                      </w:pPr>
                      <w:r>
                        <w:rPr>
                          <w:noProof/>
                        </w:rPr>
                        <w:drawing>
                          <wp:inline distT="0" distB="0" distL="0" distR="0" wp14:anchorId="1C69D431" wp14:editId="22FE10B4">
                            <wp:extent cx="5488305" cy="4114165"/>
                            <wp:effectExtent l="0" t="0" r="0" b="635"/>
                            <wp:docPr id="721674049" name="Picture 9" title="UB division of Finance and Administration logo and UB Buffalo crest image">
                              <a:extLst xmlns:a="http://schemas.openxmlformats.org/drawingml/2006/main">
                                <a:ext uri="{FF2B5EF4-FFF2-40B4-BE49-F238E27FC236}">
                                  <a16:creationId xmlns:a16="http://schemas.microsoft.com/office/drawing/2014/main" id="{08D4AD1D-25F9-6AA8-7F78-4FDF741BD4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74049" name="Picture 9">
                                      <a:extLst>
                                        <a:ext uri="{FF2B5EF4-FFF2-40B4-BE49-F238E27FC236}">
                                          <a16:creationId xmlns:a16="http://schemas.microsoft.com/office/drawing/2014/main" id="{08D4AD1D-25F9-6AA8-7F78-4FDF741BD4DD}"/>
                                        </a:ext>
                                      </a:extLst>
                                    </pic:cNvPr>
                                    <pic:cNvPicPr>
                                      <a:picLocks noChangeAspect="1"/>
                                    </pic:cNvPicPr>
                                  </pic:nvPicPr>
                                  <pic:blipFill>
                                    <a:blip r:embed="rId10"/>
                                    <a:srcRect l="1956" t="1213" r="1956" b="1213"/>
                                    <a:stretch>
                                      <a:fillRect/>
                                    </a:stretch>
                                  </pic:blipFill>
                                  <pic:spPr bwMode="auto">
                                    <a:xfrm>
                                      <a:off x="0" y="0"/>
                                      <a:ext cx="5488305" cy="4114165"/>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sdt>
      <w:sdtPr>
        <w:rPr>
          <w:rFonts w:eastAsia="Times New Roman" w:cstheme="minorHAnsi"/>
          <w:color w:val="auto"/>
          <w:sz w:val="24"/>
          <w:szCs w:val="24"/>
        </w:rPr>
        <w:id w:val="2111472107"/>
        <w:docPartObj>
          <w:docPartGallery w:val="Table of Contents"/>
          <w:docPartUnique/>
        </w:docPartObj>
      </w:sdtPr>
      <w:sdtEndPr>
        <w:rPr>
          <w:b/>
          <w:bCs/>
          <w:noProof/>
        </w:rPr>
      </w:sdtEndPr>
      <w:sdtContent>
        <w:p w14:paraId="3D5CBB71" w14:textId="77777777" w:rsidR="006E0D69" w:rsidRDefault="00D518E8">
          <w:pPr>
            <w:pStyle w:val="TOCHeading"/>
          </w:pPr>
          <w:r>
            <w:t>Table of Contents</w:t>
          </w:r>
        </w:p>
        <w:p w14:paraId="298FBF02" w14:textId="77777777" w:rsidR="006E0D69" w:rsidRDefault="00D518E8"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r>
            <w:fldChar w:fldCharType="begin"/>
          </w:r>
          <w:r>
            <w:instrText xml:space="preserve"> TOC \o "1-3" \h \z \u </w:instrText>
          </w:r>
          <w:r>
            <w:fldChar w:fldCharType="separate"/>
          </w:r>
          <w:hyperlink w:anchor="_Toc236305165" w:history="1">
            <w:r w:rsidR="006E0D69" w:rsidRPr="00CA77A1">
              <w:rPr>
                <w:rStyle w:val="Hyperlink"/>
              </w:rPr>
              <w:t>Strategic Overview</w:t>
            </w:r>
            <w:r w:rsidR="006E0D69">
              <w:rPr>
                <w:webHidden/>
              </w:rPr>
              <w:tab/>
            </w:r>
            <w:r w:rsidR="006E0D69">
              <w:rPr>
                <w:webHidden/>
              </w:rPr>
              <w:fldChar w:fldCharType="begin"/>
            </w:r>
            <w:r w:rsidR="006E0D69">
              <w:rPr>
                <w:webHidden/>
              </w:rPr>
              <w:instrText xml:space="preserve"> PAGEREF _Toc236305165 \h </w:instrText>
            </w:r>
            <w:r w:rsidR="006E0D69">
              <w:rPr>
                <w:webHidden/>
              </w:rPr>
            </w:r>
            <w:r w:rsidR="006E0D69">
              <w:rPr>
                <w:webHidden/>
              </w:rPr>
              <w:fldChar w:fldCharType="separate"/>
            </w:r>
            <w:r w:rsidR="006E0D69">
              <w:rPr>
                <w:webHidden/>
              </w:rPr>
              <w:t>3</w:t>
            </w:r>
            <w:r w:rsidR="006E0D69">
              <w:rPr>
                <w:webHidden/>
              </w:rPr>
              <w:fldChar w:fldCharType="end"/>
            </w:r>
          </w:hyperlink>
        </w:p>
        <w:p w14:paraId="0A9F8B38"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66" w:history="1">
            <w:r w:rsidRPr="00CA77A1">
              <w:rPr>
                <w:rStyle w:val="Hyperlink"/>
              </w:rPr>
              <w:t>1.</w:t>
            </w:r>
            <w:r>
              <w:rPr>
                <w:rFonts w:asciiTheme="minorHAnsi" w:eastAsiaTheme="minorEastAsia" w:hAnsiTheme="minorHAnsi"/>
                <w:smallCaps w:val="0"/>
                <w:kern w:val="2"/>
                <w:szCs w:val="24"/>
                <w:lang w:bidi="ar-SA"/>
                <w14:ligatures w14:val="standardContextual"/>
              </w:rPr>
              <w:tab/>
            </w:r>
            <w:r w:rsidRPr="00CA77A1">
              <w:rPr>
                <w:rStyle w:val="Hyperlink"/>
              </w:rPr>
              <w:t>Executive Summary</w:t>
            </w:r>
            <w:r>
              <w:rPr>
                <w:webHidden/>
              </w:rPr>
              <w:tab/>
            </w:r>
            <w:r>
              <w:rPr>
                <w:webHidden/>
              </w:rPr>
              <w:fldChar w:fldCharType="begin"/>
            </w:r>
            <w:r>
              <w:rPr>
                <w:webHidden/>
              </w:rPr>
              <w:instrText xml:space="preserve"> PAGEREF _Toc236305166 \h </w:instrText>
            </w:r>
            <w:r>
              <w:rPr>
                <w:webHidden/>
              </w:rPr>
            </w:r>
            <w:r>
              <w:rPr>
                <w:webHidden/>
              </w:rPr>
              <w:fldChar w:fldCharType="separate"/>
            </w:r>
            <w:r>
              <w:rPr>
                <w:webHidden/>
              </w:rPr>
              <w:t>3</w:t>
            </w:r>
            <w:r>
              <w:rPr>
                <w:webHidden/>
              </w:rPr>
              <w:fldChar w:fldCharType="end"/>
            </w:r>
          </w:hyperlink>
        </w:p>
        <w:p w14:paraId="25AC8E81"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67" w:history="1">
            <w:r w:rsidRPr="00CA77A1">
              <w:rPr>
                <w:rStyle w:val="Hyperlink"/>
              </w:rPr>
              <w:t>2.</w:t>
            </w:r>
            <w:r>
              <w:rPr>
                <w:rFonts w:asciiTheme="minorHAnsi" w:eastAsiaTheme="minorEastAsia" w:hAnsiTheme="minorHAnsi"/>
                <w:smallCaps w:val="0"/>
                <w:kern w:val="2"/>
                <w:szCs w:val="24"/>
                <w:lang w:bidi="ar-SA"/>
                <w14:ligatures w14:val="standardContextual"/>
              </w:rPr>
              <w:tab/>
            </w:r>
            <w:r w:rsidRPr="00CA77A1">
              <w:rPr>
                <w:rStyle w:val="Hyperlink"/>
              </w:rPr>
              <w:t>UB Vision and Strategic Goals</w:t>
            </w:r>
            <w:r>
              <w:rPr>
                <w:webHidden/>
              </w:rPr>
              <w:tab/>
            </w:r>
            <w:r>
              <w:rPr>
                <w:webHidden/>
              </w:rPr>
              <w:fldChar w:fldCharType="begin"/>
            </w:r>
            <w:r>
              <w:rPr>
                <w:webHidden/>
              </w:rPr>
              <w:instrText xml:space="preserve"> PAGEREF _Toc236305167 \h </w:instrText>
            </w:r>
            <w:r>
              <w:rPr>
                <w:webHidden/>
              </w:rPr>
            </w:r>
            <w:r>
              <w:rPr>
                <w:webHidden/>
              </w:rPr>
              <w:fldChar w:fldCharType="separate"/>
            </w:r>
            <w:r>
              <w:rPr>
                <w:webHidden/>
              </w:rPr>
              <w:t>3</w:t>
            </w:r>
            <w:r>
              <w:rPr>
                <w:webHidden/>
              </w:rPr>
              <w:fldChar w:fldCharType="end"/>
            </w:r>
          </w:hyperlink>
        </w:p>
        <w:p w14:paraId="67E3B650"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68" w:history="1">
            <w:r w:rsidRPr="00CA77A1">
              <w:rPr>
                <w:rStyle w:val="Hyperlink"/>
              </w:rPr>
              <w:t>3.</w:t>
            </w:r>
            <w:r>
              <w:rPr>
                <w:rFonts w:asciiTheme="minorHAnsi" w:eastAsiaTheme="minorEastAsia" w:hAnsiTheme="minorHAnsi"/>
                <w:smallCaps w:val="0"/>
                <w:kern w:val="2"/>
                <w:szCs w:val="24"/>
                <w:lang w:bidi="ar-SA"/>
                <w14:ligatures w14:val="standardContextual"/>
              </w:rPr>
              <w:tab/>
            </w:r>
            <w:r w:rsidRPr="00CA77A1">
              <w:rPr>
                <w:rStyle w:val="Hyperlink"/>
              </w:rPr>
              <w:t>UB as New York State Flagship Institution</w:t>
            </w:r>
            <w:r>
              <w:rPr>
                <w:webHidden/>
              </w:rPr>
              <w:tab/>
            </w:r>
            <w:r>
              <w:rPr>
                <w:webHidden/>
              </w:rPr>
              <w:fldChar w:fldCharType="begin"/>
            </w:r>
            <w:r>
              <w:rPr>
                <w:webHidden/>
              </w:rPr>
              <w:instrText xml:space="preserve"> PAGEREF _Toc236305168 \h </w:instrText>
            </w:r>
            <w:r>
              <w:rPr>
                <w:webHidden/>
              </w:rPr>
            </w:r>
            <w:r>
              <w:rPr>
                <w:webHidden/>
              </w:rPr>
              <w:fldChar w:fldCharType="separate"/>
            </w:r>
            <w:r>
              <w:rPr>
                <w:webHidden/>
              </w:rPr>
              <w:t>4</w:t>
            </w:r>
            <w:r>
              <w:rPr>
                <w:webHidden/>
              </w:rPr>
              <w:fldChar w:fldCharType="end"/>
            </w:r>
          </w:hyperlink>
        </w:p>
        <w:p w14:paraId="25D617E5" w14:textId="77777777" w:rsidR="006E0D69" w:rsidRDefault="006E0D69"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hyperlink w:anchor="_Toc236305169" w:history="1">
            <w:r w:rsidRPr="00CA77A1">
              <w:rPr>
                <w:rStyle w:val="Hyperlink"/>
                <w:rFonts w:cs="Times New Roman"/>
              </w:rPr>
              <w:t>Operating Budget</w:t>
            </w:r>
            <w:r>
              <w:rPr>
                <w:webHidden/>
              </w:rPr>
              <w:tab/>
            </w:r>
            <w:r>
              <w:rPr>
                <w:webHidden/>
              </w:rPr>
              <w:fldChar w:fldCharType="begin"/>
            </w:r>
            <w:r>
              <w:rPr>
                <w:webHidden/>
              </w:rPr>
              <w:instrText xml:space="preserve"> PAGEREF _Toc236305169 \h </w:instrText>
            </w:r>
            <w:r>
              <w:rPr>
                <w:webHidden/>
              </w:rPr>
            </w:r>
            <w:r>
              <w:rPr>
                <w:webHidden/>
              </w:rPr>
              <w:fldChar w:fldCharType="separate"/>
            </w:r>
            <w:r>
              <w:rPr>
                <w:webHidden/>
              </w:rPr>
              <w:t>5</w:t>
            </w:r>
            <w:r>
              <w:rPr>
                <w:webHidden/>
              </w:rPr>
              <w:fldChar w:fldCharType="end"/>
            </w:r>
          </w:hyperlink>
        </w:p>
        <w:p w14:paraId="215F7732"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0" w:history="1">
            <w:r w:rsidRPr="00CA77A1">
              <w:rPr>
                <w:rStyle w:val="Hyperlink"/>
                <w:rFonts w:cs="Times New Roman"/>
              </w:rPr>
              <w:t>1.</w:t>
            </w:r>
            <w:r>
              <w:rPr>
                <w:rFonts w:asciiTheme="minorHAnsi" w:eastAsiaTheme="minorEastAsia" w:hAnsiTheme="minorHAnsi"/>
                <w:smallCaps w:val="0"/>
                <w:kern w:val="2"/>
                <w:szCs w:val="24"/>
                <w:lang w:bidi="ar-SA"/>
                <w14:ligatures w14:val="standardContextual"/>
              </w:rPr>
              <w:tab/>
            </w:r>
            <w:r w:rsidRPr="00CA77A1">
              <w:rPr>
                <w:rStyle w:val="Hyperlink"/>
                <w:rFonts w:cs="Times New Roman"/>
              </w:rPr>
              <w:t>Projected University Operating Budget</w:t>
            </w:r>
            <w:r>
              <w:rPr>
                <w:webHidden/>
              </w:rPr>
              <w:tab/>
            </w:r>
            <w:r>
              <w:rPr>
                <w:webHidden/>
              </w:rPr>
              <w:fldChar w:fldCharType="begin"/>
            </w:r>
            <w:r>
              <w:rPr>
                <w:webHidden/>
              </w:rPr>
              <w:instrText xml:space="preserve"> PAGEREF _Toc236305170 \h </w:instrText>
            </w:r>
            <w:r>
              <w:rPr>
                <w:webHidden/>
              </w:rPr>
            </w:r>
            <w:r>
              <w:rPr>
                <w:webHidden/>
              </w:rPr>
              <w:fldChar w:fldCharType="separate"/>
            </w:r>
            <w:r>
              <w:rPr>
                <w:webHidden/>
              </w:rPr>
              <w:t>5</w:t>
            </w:r>
            <w:r>
              <w:rPr>
                <w:webHidden/>
              </w:rPr>
              <w:fldChar w:fldCharType="end"/>
            </w:r>
          </w:hyperlink>
        </w:p>
        <w:p w14:paraId="666C8C2F"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1" w:history="1">
            <w:r w:rsidRPr="00CA77A1">
              <w:rPr>
                <w:rStyle w:val="Hyperlink"/>
                <w:rFonts w:cs="Times New Roman"/>
              </w:rPr>
              <w:t>2.</w:t>
            </w:r>
            <w:r>
              <w:rPr>
                <w:rFonts w:asciiTheme="minorHAnsi" w:eastAsiaTheme="minorEastAsia" w:hAnsiTheme="minorHAnsi"/>
                <w:smallCaps w:val="0"/>
                <w:kern w:val="2"/>
                <w:szCs w:val="24"/>
                <w:lang w:bidi="ar-SA"/>
                <w14:ligatures w14:val="standardContextual"/>
              </w:rPr>
              <w:tab/>
            </w:r>
            <w:r w:rsidRPr="00CA77A1">
              <w:rPr>
                <w:rStyle w:val="Hyperlink"/>
                <w:rFonts w:cs="Times New Roman"/>
              </w:rPr>
              <w:t>State Support for UB’s Operating Budget:</w:t>
            </w:r>
            <w:r>
              <w:rPr>
                <w:webHidden/>
              </w:rPr>
              <w:tab/>
            </w:r>
            <w:r>
              <w:rPr>
                <w:webHidden/>
              </w:rPr>
              <w:fldChar w:fldCharType="begin"/>
            </w:r>
            <w:r>
              <w:rPr>
                <w:webHidden/>
              </w:rPr>
              <w:instrText xml:space="preserve"> PAGEREF _Toc236305171 \h </w:instrText>
            </w:r>
            <w:r>
              <w:rPr>
                <w:webHidden/>
              </w:rPr>
            </w:r>
            <w:r>
              <w:rPr>
                <w:webHidden/>
              </w:rPr>
              <w:fldChar w:fldCharType="separate"/>
            </w:r>
            <w:r>
              <w:rPr>
                <w:webHidden/>
              </w:rPr>
              <w:t>6</w:t>
            </w:r>
            <w:r>
              <w:rPr>
                <w:webHidden/>
              </w:rPr>
              <w:fldChar w:fldCharType="end"/>
            </w:r>
          </w:hyperlink>
        </w:p>
        <w:p w14:paraId="6D4ACACD"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2" w:history="1">
            <w:r w:rsidRPr="00CA77A1">
              <w:rPr>
                <w:rStyle w:val="Hyperlink"/>
                <w:rFonts w:eastAsiaTheme="majorEastAsia" w:cs="Times New Roman"/>
              </w:rPr>
              <w:t>3.</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imes New Roman"/>
              </w:rPr>
              <w:t>Additional State Impact Information</w:t>
            </w:r>
            <w:r>
              <w:rPr>
                <w:webHidden/>
              </w:rPr>
              <w:tab/>
            </w:r>
            <w:r>
              <w:rPr>
                <w:webHidden/>
              </w:rPr>
              <w:fldChar w:fldCharType="begin"/>
            </w:r>
            <w:r>
              <w:rPr>
                <w:webHidden/>
              </w:rPr>
              <w:instrText xml:space="preserve"> PAGEREF _Toc236305172 \h </w:instrText>
            </w:r>
            <w:r>
              <w:rPr>
                <w:webHidden/>
              </w:rPr>
            </w:r>
            <w:r>
              <w:rPr>
                <w:webHidden/>
              </w:rPr>
              <w:fldChar w:fldCharType="separate"/>
            </w:r>
            <w:r>
              <w:rPr>
                <w:webHidden/>
              </w:rPr>
              <w:t>6</w:t>
            </w:r>
            <w:r>
              <w:rPr>
                <w:webHidden/>
              </w:rPr>
              <w:fldChar w:fldCharType="end"/>
            </w:r>
          </w:hyperlink>
        </w:p>
        <w:p w14:paraId="6953119B" w14:textId="77777777" w:rsidR="006E0D69" w:rsidRDefault="006E0D69"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hyperlink w:anchor="_Toc236305173" w:history="1">
            <w:r w:rsidRPr="00CA77A1">
              <w:rPr>
                <w:rStyle w:val="Hyperlink"/>
                <w:rFonts w:eastAsiaTheme="majorEastAsia" w:cstheme="majorBidi"/>
              </w:rPr>
              <w:t>Issues and Actions</w:t>
            </w:r>
            <w:r>
              <w:rPr>
                <w:webHidden/>
              </w:rPr>
              <w:tab/>
            </w:r>
            <w:r>
              <w:rPr>
                <w:webHidden/>
              </w:rPr>
              <w:fldChar w:fldCharType="begin"/>
            </w:r>
            <w:r>
              <w:rPr>
                <w:webHidden/>
              </w:rPr>
              <w:instrText xml:space="preserve"> PAGEREF _Toc236305173 \h </w:instrText>
            </w:r>
            <w:r>
              <w:rPr>
                <w:webHidden/>
              </w:rPr>
            </w:r>
            <w:r>
              <w:rPr>
                <w:webHidden/>
              </w:rPr>
              <w:fldChar w:fldCharType="separate"/>
            </w:r>
            <w:r>
              <w:rPr>
                <w:webHidden/>
              </w:rPr>
              <w:t>8</w:t>
            </w:r>
            <w:r>
              <w:rPr>
                <w:webHidden/>
              </w:rPr>
              <w:fldChar w:fldCharType="end"/>
            </w:r>
          </w:hyperlink>
        </w:p>
        <w:p w14:paraId="32D76052"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4" w:history="1">
            <w:r w:rsidRPr="00CA77A1">
              <w:rPr>
                <w:rStyle w:val="Hyperlink"/>
                <w:rFonts w:eastAsiaTheme="majorEastAsia" w:cstheme="majorBidi"/>
              </w:rPr>
              <w:t>1.</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Issues and Challenges Affecting UB Budgets</w:t>
            </w:r>
            <w:r>
              <w:rPr>
                <w:webHidden/>
              </w:rPr>
              <w:tab/>
            </w:r>
            <w:r>
              <w:rPr>
                <w:webHidden/>
              </w:rPr>
              <w:fldChar w:fldCharType="begin"/>
            </w:r>
            <w:r>
              <w:rPr>
                <w:webHidden/>
              </w:rPr>
              <w:instrText xml:space="preserve"> PAGEREF _Toc236305174 \h </w:instrText>
            </w:r>
            <w:r>
              <w:rPr>
                <w:webHidden/>
              </w:rPr>
            </w:r>
            <w:r>
              <w:rPr>
                <w:webHidden/>
              </w:rPr>
              <w:fldChar w:fldCharType="separate"/>
            </w:r>
            <w:r>
              <w:rPr>
                <w:webHidden/>
              </w:rPr>
              <w:t>8</w:t>
            </w:r>
            <w:r>
              <w:rPr>
                <w:webHidden/>
              </w:rPr>
              <w:fldChar w:fldCharType="end"/>
            </w:r>
          </w:hyperlink>
        </w:p>
        <w:p w14:paraId="0B96EAAE"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5" w:history="1">
            <w:r w:rsidRPr="00CA77A1">
              <w:rPr>
                <w:rStyle w:val="Hyperlink"/>
                <w:rFonts w:eastAsiaTheme="majorEastAsia" w:cstheme="majorBidi"/>
              </w:rPr>
              <w:t>2.</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Actions to Address Fiscal Challenges</w:t>
            </w:r>
            <w:r>
              <w:rPr>
                <w:webHidden/>
              </w:rPr>
              <w:tab/>
            </w:r>
            <w:r>
              <w:rPr>
                <w:webHidden/>
              </w:rPr>
              <w:fldChar w:fldCharType="begin"/>
            </w:r>
            <w:r>
              <w:rPr>
                <w:webHidden/>
              </w:rPr>
              <w:instrText xml:space="preserve"> PAGEREF _Toc236305175 \h </w:instrText>
            </w:r>
            <w:r>
              <w:rPr>
                <w:webHidden/>
              </w:rPr>
            </w:r>
            <w:r>
              <w:rPr>
                <w:webHidden/>
              </w:rPr>
              <w:fldChar w:fldCharType="separate"/>
            </w:r>
            <w:r>
              <w:rPr>
                <w:webHidden/>
              </w:rPr>
              <w:t>12</w:t>
            </w:r>
            <w:r>
              <w:rPr>
                <w:webHidden/>
              </w:rPr>
              <w:fldChar w:fldCharType="end"/>
            </w:r>
          </w:hyperlink>
        </w:p>
        <w:p w14:paraId="37B5D43A" w14:textId="77777777" w:rsidR="006E0D69" w:rsidRDefault="006E0D69"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hyperlink w:anchor="_Toc236305176" w:history="1">
            <w:r w:rsidRPr="00CA77A1">
              <w:rPr>
                <w:rStyle w:val="Hyperlink"/>
                <w:rFonts w:eastAsiaTheme="majorEastAsia" w:cstheme="majorBidi"/>
              </w:rPr>
              <w:t>Budget Planning</w:t>
            </w:r>
            <w:r>
              <w:rPr>
                <w:webHidden/>
              </w:rPr>
              <w:tab/>
            </w:r>
            <w:r>
              <w:rPr>
                <w:webHidden/>
              </w:rPr>
              <w:fldChar w:fldCharType="begin"/>
            </w:r>
            <w:r>
              <w:rPr>
                <w:webHidden/>
              </w:rPr>
              <w:instrText xml:space="preserve"> PAGEREF _Toc236305176 \h </w:instrText>
            </w:r>
            <w:r>
              <w:rPr>
                <w:webHidden/>
              </w:rPr>
            </w:r>
            <w:r>
              <w:rPr>
                <w:webHidden/>
              </w:rPr>
              <w:fldChar w:fldCharType="separate"/>
            </w:r>
            <w:r>
              <w:rPr>
                <w:webHidden/>
              </w:rPr>
              <w:t>14</w:t>
            </w:r>
            <w:r>
              <w:rPr>
                <w:webHidden/>
              </w:rPr>
              <w:fldChar w:fldCharType="end"/>
            </w:r>
          </w:hyperlink>
        </w:p>
        <w:p w14:paraId="559B85B1"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7" w:history="1">
            <w:r w:rsidRPr="00CA77A1">
              <w:rPr>
                <w:rStyle w:val="Hyperlink"/>
                <w:rFonts w:eastAsiaTheme="majorEastAsia" w:cstheme="majorBidi"/>
              </w:rPr>
              <w:t>1.</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Annual Resource Planning Process (ARPP)</w:t>
            </w:r>
            <w:r>
              <w:rPr>
                <w:webHidden/>
              </w:rPr>
              <w:tab/>
            </w:r>
            <w:r>
              <w:rPr>
                <w:webHidden/>
              </w:rPr>
              <w:fldChar w:fldCharType="begin"/>
            </w:r>
            <w:r>
              <w:rPr>
                <w:webHidden/>
              </w:rPr>
              <w:instrText xml:space="preserve"> PAGEREF _Toc236305177 \h </w:instrText>
            </w:r>
            <w:r>
              <w:rPr>
                <w:webHidden/>
              </w:rPr>
            </w:r>
            <w:r>
              <w:rPr>
                <w:webHidden/>
              </w:rPr>
              <w:fldChar w:fldCharType="separate"/>
            </w:r>
            <w:r>
              <w:rPr>
                <w:webHidden/>
              </w:rPr>
              <w:t>14</w:t>
            </w:r>
            <w:r>
              <w:rPr>
                <w:webHidden/>
              </w:rPr>
              <w:fldChar w:fldCharType="end"/>
            </w:r>
          </w:hyperlink>
        </w:p>
        <w:p w14:paraId="4A64C239"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8" w:history="1">
            <w:r w:rsidRPr="00CA77A1">
              <w:rPr>
                <w:rStyle w:val="Hyperlink"/>
                <w:rFonts w:eastAsiaTheme="majorEastAsia" w:cstheme="majorBidi"/>
              </w:rPr>
              <w:t>2.</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Financial Capacity</w:t>
            </w:r>
            <w:r>
              <w:rPr>
                <w:webHidden/>
              </w:rPr>
              <w:tab/>
            </w:r>
            <w:r>
              <w:rPr>
                <w:webHidden/>
              </w:rPr>
              <w:fldChar w:fldCharType="begin"/>
            </w:r>
            <w:r>
              <w:rPr>
                <w:webHidden/>
              </w:rPr>
              <w:instrText xml:space="preserve"> PAGEREF _Toc236305178 \h </w:instrText>
            </w:r>
            <w:r>
              <w:rPr>
                <w:webHidden/>
              </w:rPr>
            </w:r>
            <w:r>
              <w:rPr>
                <w:webHidden/>
              </w:rPr>
              <w:fldChar w:fldCharType="separate"/>
            </w:r>
            <w:r>
              <w:rPr>
                <w:webHidden/>
              </w:rPr>
              <w:t>16</w:t>
            </w:r>
            <w:r>
              <w:rPr>
                <w:webHidden/>
              </w:rPr>
              <w:fldChar w:fldCharType="end"/>
            </w:r>
          </w:hyperlink>
        </w:p>
        <w:p w14:paraId="167BE644"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79" w:history="1">
            <w:r w:rsidRPr="00CA77A1">
              <w:rPr>
                <w:rStyle w:val="Hyperlink"/>
                <w:rFonts w:eastAsiaTheme="majorEastAsia" w:cstheme="majorBidi"/>
              </w:rPr>
              <w:t>3.</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Investment Requests &amp; Funding</w:t>
            </w:r>
            <w:r>
              <w:rPr>
                <w:webHidden/>
              </w:rPr>
              <w:tab/>
            </w:r>
            <w:r>
              <w:rPr>
                <w:webHidden/>
              </w:rPr>
              <w:fldChar w:fldCharType="begin"/>
            </w:r>
            <w:r>
              <w:rPr>
                <w:webHidden/>
              </w:rPr>
              <w:instrText xml:space="preserve"> PAGEREF _Toc236305179 \h </w:instrText>
            </w:r>
            <w:r>
              <w:rPr>
                <w:webHidden/>
              </w:rPr>
            </w:r>
            <w:r>
              <w:rPr>
                <w:webHidden/>
              </w:rPr>
              <w:fldChar w:fldCharType="separate"/>
            </w:r>
            <w:r>
              <w:rPr>
                <w:webHidden/>
              </w:rPr>
              <w:t>17</w:t>
            </w:r>
            <w:r>
              <w:rPr>
                <w:webHidden/>
              </w:rPr>
              <w:fldChar w:fldCharType="end"/>
            </w:r>
          </w:hyperlink>
        </w:p>
        <w:p w14:paraId="2A3D8536" w14:textId="77777777" w:rsidR="006E0D69" w:rsidRDefault="006E0D69"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hyperlink w:anchor="_Toc236305180" w:history="1">
            <w:r w:rsidRPr="00CA77A1">
              <w:rPr>
                <w:rStyle w:val="Hyperlink"/>
              </w:rPr>
              <w:t>Unit Funding and Budget Models</w:t>
            </w:r>
            <w:r>
              <w:rPr>
                <w:webHidden/>
              </w:rPr>
              <w:tab/>
            </w:r>
            <w:r>
              <w:rPr>
                <w:webHidden/>
              </w:rPr>
              <w:fldChar w:fldCharType="begin"/>
            </w:r>
            <w:r>
              <w:rPr>
                <w:webHidden/>
              </w:rPr>
              <w:instrText xml:space="preserve"> PAGEREF _Toc236305180 \h </w:instrText>
            </w:r>
            <w:r>
              <w:rPr>
                <w:webHidden/>
              </w:rPr>
            </w:r>
            <w:r>
              <w:rPr>
                <w:webHidden/>
              </w:rPr>
              <w:fldChar w:fldCharType="separate"/>
            </w:r>
            <w:r>
              <w:rPr>
                <w:webHidden/>
              </w:rPr>
              <w:t>24</w:t>
            </w:r>
            <w:r>
              <w:rPr>
                <w:webHidden/>
              </w:rPr>
              <w:fldChar w:fldCharType="end"/>
            </w:r>
          </w:hyperlink>
        </w:p>
        <w:p w14:paraId="152C3F89"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1" w:history="1">
            <w:r w:rsidRPr="00CA77A1">
              <w:rPr>
                <w:rStyle w:val="Hyperlink"/>
                <w:rFonts w:cstheme="minorHAnsi"/>
              </w:rPr>
              <w:t>1.</w:t>
            </w:r>
            <w:r>
              <w:rPr>
                <w:rFonts w:asciiTheme="minorHAnsi" w:eastAsiaTheme="minorEastAsia" w:hAnsiTheme="minorHAnsi"/>
                <w:smallCaps w:val="0"/>
                <w:kern w:val="2"/>
                <w:szCs w:val="24"/>
                <w:lang w:bidi="ar-SA"/>
                <w14:ligatures w14:val="standardContextual"/>
              </w:rPr>
              <w:tab/>
            </w:r>
            <w:r w:rsidRPr="00CA77A1">
              <w:rPr>
                <w:rStyle w:val="Hyperlink"/>
              </w:rPr>
              <w:t>Base Budget</w:t>
            </w:r>
            <w:r>
              <w:rPr>
                <w:webHidden/>
              </w:rPr>
              <w:tab/>
            </w:r>
            <w:r>
              <w:rPr>
                <w:webHidden/>
              </w:rPr>
              <w:fldChar w:fldCharType="begin"/>
            </w:r>
            <w:r>
              <w:rPr>
                <w:webHidden/>
              </w:rPr>
              <w:instrText xml:space="preserve"> PAGEREF _Toc236305181 \h </w:instrText>
            </w:r>
            <w:r>
              <w:rPr>
                <w:webHidden/>
              </w:rPr>
            </w:r>
            <w:r>
              <w:rPr>
                <w:webHidden/>
              </w:rPr>
              <w:fldChar w:fldCharType="separate"/>
            </w:r>
            <w:r>
              <w:rPr>
                <w:webHidden/>
              </w:rPr>
              <w:t>24</w:t>
            </w:r>
            <w:r>
              <w:rPr>
                <w:webHidden/>
              </w:rPr>
              <w:fldChar w:fldCharType="end"/>
            </w:r>
          </w:hyperlink>
        </w:p>
        <w:p w14:paraId="5D8E3938"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2" w:history="1">
            <w:r w:rsidRPr="00CA77A1">
              <w:rPr>
                <w:rStyle w:val="Hyperlink"/>
              </w:rPr>
              <w:t>2.</w:t>
            </w:r>
            <w:r>
              <w:rPr>
                <w:rFonts w:asciiTheme="minorHAnsi" w:eastAsiaTheme="minorEastAsia" w:hAnsiTheme="minorHAnsi"/>
                <w:smallCaps w:val="0"/>
                <w:kern w:val="2"/>
                <w:szCs w:val="24"/>
                <w:lang w:bidi="ar-SA"/>
                <w14:ligatures w14:val="standardContextual"/>
              </w:rPr>
              <w:tab/>
            </w:r>
            <w:r w:rsidRPr="00CA77A1">
              <w:rPr>
                <w:rStyle w:val="Hyperlink"/>
              </w:rPr>
              <w:t>Tuition Revenue Budget Models</w:t>
            </w:r>
            <w:r>
              <w:rPr>
                <w:webHidden/>
              </w:rPr>
              <w:tab/>
            </w:r>
            <w:r>
              <w:rPr>
                <w:webHidden/>
              </w:rPr>
              <w:fldChar w:fldCharType="begin"/>
            </w:r>
            <w:r>
              <w:rPr>
                <w:webHidden/>
              </w:rPr>
              <w:instrText xml:space="preserve"> PAGEREF _Toc236305182 \h </w:instrText>
            </w:r>
            <w:r>
              <w:rPr>
                <w:webHidden/>
              </w:rPr>
            </w:r>
            <w:r>
              <w:rPr>
                <w:webHidden/>
              </w:rPr>
              <w:fldChar w:fldCharType="separate"/>
            </w:r>
            <w:r>
              <w:rPr>
                <w:webHidden/>
              </w:rPr>
              <w:t>24</w:t>
            </w:r>
            <w:r>
              <w:rPr>
                <w:webHidden/>
              </w:rPr>
              <w:fldChar w:fldCharType="end"/>
            </w:r>
          </w:hyperlink>
        </w:p>
        <w:p w14:paraId="3435FA01"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3" w:history="1">
            <w:r w:rsidRPr="00CA77A1">
              <w:rPr>
                <w:rStyle w:val="Hyperlink"/>
              </w:rPr>
              <w:t>3.</w:t>
            </w:r>
            <w:r>
              <w:rPr>
                <w:rFonts w:asciiTheme="minorHAnsi" w:eastAsiaTheme="minorEastAsia" w:hAnsiTheme="minorHAnsi"/>
                <w:smallCaps w:val="0"/>
                <w:kern w:val="2"/>
                <w:szCs w:val="24"/>
                <w:lang w:bidi="ar-SA"/>
                <w14:ligatures w14:val="standardContextual"/>
              </w:rPr>
              <w:tab/>
            </w:r>
            <w:r w:rsidRPr="00CA77A1">
              <w:rPr>
                <w:rStyle w:val="Hyperlink"/>
              </w:rPr>
              <w:t>Tuition Rate Increase Shares</w:t>
            </w:r>
            <w:r>
              <w:rPr>
                <w:webHidden/>
              </w:rPr>
              <w:tab/>
            </w:r>
            <w:r>
              <w:rPr>
                <w:webHidden/>
              </w:rPr>
              <w:fldChar w:fldCharType="begin"/>
            </w:r>
            <w:r>
              <w:rPr>
                <w:webHidden/>
              </w:rPr>
              <w:instrText xml:space="preserve"> PAGEREF _Toc236305183 \h </w:instrText>
            </w:r>
            <w:r>
              <w:rPr>
                <w:webHidden/>
              </w:rPr>
            </w:r>
            <w:r>
              <w:rPr>
                <w:webHidden/>
              </w:rPr>
              <w:fldChar w:fldCharType="separate"/>
            </w:r>
            <w:r>
              <w:rPr>
                <w:webHidden/>
              </w:rPr>
              <w:t>26</w:t>
            </w:r>
            <w:r>
              <w:rPr>
                <w:webHidden/>
              </w:rPr>
              <w:fldChar w:fldCharType="end"/>
            </w:r>
          </w:hyperlink>
        </w:p>
        <w:p w14:paraId="15C4B7FB"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4" w:history="1">
            <w:r w:rsidRPr="00CA77A1">
              <w:rPr>
                <w:rStyle w:val="Hyperlink"/>
              </w:rPr>
              <w:t>4.</w:t>
            </w:r>
            <w:r>
              <w:rPr>
                <w:rFonts w:asciiTheme="minorHAnsi" w:eastAsiaTheme="minorEastAsia" w:hAnsiTheme="minorHAnsi"/>
                <w:smallCaps w:val="0"/>
                <w:kern w:val="2"/>
                <w:szCs w:val="24"/>
                <w:lang w:bidi="ar-SA"/>
                <w14:ligatures w14:val="standardContextual"/>
              </w:rPr>
              <w:tab/>
            </w:r>
            <w:r w:rsidRPr="00CA77A1">
              <w:rPr>
                <w:rStyle w:val="Hyperlink"/>
              </w:rPr>
              <w:t>Indirect Cost Recovery (ICR)</w:t>
            </w:r>
            <w:r>
              <w:rPr>
                <w:webHidden/>
              </w:rPr>
              <w:tab/>
            </w:r>
            <w:r>
              <w:rPr>
                <w:webHidden/>
              </w:rPr>
              <w:fldChar w:fldCharType="begin"/>
            </w:r>
            <w:r>
              <w:rPr>
                <w:webHidden/>
              </w:rPr>
              <w:instrText xml:space="preserve"> PAGEREF _Toc236305184 \h </w:instrText>
            </w:r>
            <w:r>
              <w:rPr>
                <w:webHidden/>
              </w:rPr>
            </w:r>
            <w:r>
              <w:rPr>
                <w:webHidden/>
              </w:rPr>
              <w:fldChar w:fldCharType="separate"/>
            </w:r>
            <w:r>
              <w:rPr>
                <w:webHidden/>
              </w:rPr>
              <w:t>26</w:t>
            </w:r>
            <w:r>
              <w:rPr>
                <w:webHidden/>
              </w:rPr>
              <w:fldChar w:fldCharType="end"/>
            </w:r>
          </w:hyperlink>
        </w:p>
        <w:p w14:paraId="36D2D3D4"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5" w:history="1">
            <w:r w:rsidRPr="00CA77A1">
              <w:rPr>
                <w:rStyle w:val="Hyperlink"/>
              </w:rPr>
              <w:t>5.</w:t>
            </w:r>
            <w:r>
              <w:rPr>
                <w:rFonts w:asciiTheme="minorHAnsi" w:eastAsiaTheme="minorEastAsia" w:hAnsiTheme="minorHAnsi"/>
                <w:smallCaps w:val="0"/>
                <w:kern w:val="2"/>
                <w:szCs w:val="24"/>
                <w:lang w:bidi="ar-SA"/>
                <w14:ligatures w14:val="standardContextual"/>
              </w:rPr>
              <w:tab/>
            </w:r>
            <w:r w:rsidRPr="00CA77A1">
              <w:rPr>
                <w:rStyle w:val="Hyperlink"/>
              </w:rPr>
              <w:t>Fringe Over Target</w:t>
            </w:r>
            <w:r>
              <w:rPr>
                <w:webHidden/>
              </w:rPr>
              <w:tab/>
            </w:r>
            <w:r>
              <w:rPr>
                <w:webHidden/>
              </w:rPr>
              <w:fldChar w:fldCharType="begin"/>
            </w:r>
            <w:r>
              <w:rPr>
                <w:webHidden/>
              </w:rPr>
              <w:instrText xml:space="preserve"> PAGEREF _Toc236305185 \h </w:instrText>
            </w:r>
            <w:r>
              <w:rPr>
                <w:webHidden/>
              </w:rPr>
            </w:r>
            <w:r>
              <w:rPr>
                <w:webHidden/>
              </w:rPr>
              <w:fldChar w:fldCharType="separate"/>
            </w:r>
            <w:r>
              <w:rPr>
                <w:webHidden/>
              </w:rPr>
              <w:t>26</w:t>
            </w:r>
            <w:r>
              <w:rPr>
                <w:webHidden/>
              </w:rPr>
              <w:fldChar w:fldCharType="end"/>
            </w:r>
          </w:hyperlink>
        </w:p>
        <w:p w14:paraId="511535F8" w14:textId="77777777" w:rsidR="006E0D69" w:rsidRDefault="006E0D69"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hyperlink w:anchor="_Toc236305186" w:history="1">
            <w:r w:rsidRPr="00CA77A1">
              <w:rPr>
                <w:rStyle w:val="Hyperlink"/>
              </w:rPr>
              <w:t>Fees</w:t>
            </w:r>
            <w:r>
              <w:rPr>
                <w:webHidden/>
              </w:rPr>
              <w:tab/>
            </w:r>
            <w:r>
              <w:rPr>
                <w:webHidden/>
              </w:rPr>
              <w:fldChar w:fldCharType="begin"/>
            </w:r>
            <w:r>
              <w:rPr>
                <w:webHidden/>
              </w:rPr>
              <w:instrText xml:space="preserve"> PAGEREF _Toc236305186 \h </w:instrText>
            </w:r>
            <w:r>
              <w:rPr>
                <w:webHidden/>
              </w:rPr>
            </w:r>
            <w:r>
              <w:rPr>
                <w:webHidden/>
              </w:rPr>
              <w:fldChar w:fldCharType="separate"/>
            </w:r>
            <w:r>
              <w:rPr>
                <w:webHidden/>
              </w:rPr>
              <w:t>26</w:t>
            </w:r>
            <w:r>
              <w:rPr>
                <w:webHidden/>
              </w:rPr>
              <w:fldChar w:fldCharType="end"/>
            </w:r>
          </w:hyperlink>
        </w:p>
        <w:p w14:paraId="35C44FA6"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7" w:history="1">
            <w:r w:rsidRPr="00CA77A1">
              <w:rPr>
                <w:rStyle w:val="Hyperlink"/>
              </w:rPr>
              <w:t>1.</w:t>
            </w:r>
            <w:r>
              <w:rPr>
                <w:rFonts w:asciiTheme="minorHAnsi" w:eastAsiaTheme="minorEastAsia" w:hAnsiTheme="minorHAnsi"/>
                <w:smallCaps w:val="0"/>
                <w:kern w:val="2"/>
                <w:szCs w:val="24"/>
                <w:lang w:bidi="ar-SA"/>
                <w14:ligatures w14:val="standardContextual"/>
              </w:rPr>
              <w:tab/>
            </w:r>
            <w:r w:rsidRPr="00CA77A1">
              <w:rPr>
                <w:rStyle w:val="Hyperlink"/>
              </w:rPr>
              <w:t>University Fees</w:t>
            </w:r>
            <w:r>
              <w:rPr>
                <w:webHidden/>
              </w:rPr>
              <w:tab/>
            </w:r>
            <w:r>
              <w:rPr>
                <w:webHidden/>
              </w:rPr>
              <w:fldChar w:fldCharType="begin"/>
            </w:r>
            <w:r>
              <w:rPr>
                <w:webHidden/>
              </w:rPr>
              <w:instrText xml:space="preserve"> PAGEREF _Toc236305187 \h </w:instrText>
            </w:r>
            <w:r>
              <w:rPr>
                <w:webHidden/>
              </w:rPr>
            </w:r>
            <w:r>
              <w:rPr>
                <w:webHidden/>
              </w:rPr>
              <w:fldChar w:fldCharType="separate"/>
            </w:r>
            <w:r>
              <w:rPr>
                <w:webHidden/>
              </w:rPr>
              <w:t>26</w:t>
            </w:r>
            <w:r>
              <w:rPr>
                <w:webHidden/>
              </w:rPr>
              <w:fldChar w:fldCharType="end"/>
            </w:r>
          </w:hyperlink>
        </w:p>
        <w:p w14:paraId="47306401"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8" w:history="1">
            <w:r w:rsidRPr="00CA77A1">
              <w:rPr>
                <w:rStyle w:val="Hyperlink"/>
              </w:rPr>
              <w:t>2.</w:t>
            </w:r>
            <w:r>
              <w:rPr>
                <w:rFonts w:asciiTheme="minorHAnsi" w:eastAsiaTheme="minorEastAsia" w:hAnsiTheme="minorHAnsi"/>
                <w:smallCaps w:val="0"/>
                <w:kern w:val="2"/>
                <w:szCs w:val="24"/>
                <w:lang w:bidi="ar-SA"/>
                <w14:ligatures w14:val="standardContextual"/>
              </w:rPr>
              <w:tab/>
            </w:r>
            <w:r w:rsidRPr="00CA77A1">
              <w:rPr>
                <w:rStyle w:val="Hyperlink"/>
              </w:rPr>
              <w:t>General University Service Fee (GUSF)</w:t>
            </w:r>
            <w:r>
              <w:rPr>
                <w:webHidden/>
              </w:rPr>
              <w:tab/>
            </w:r>
            <w:r>
              <w:rPr>
                <w:webHidden/>
              </w:rPr>
              <w:fldChar w:fldCharType="begin"/>
            </w:r>
            <w:r>
              <w:rPr>
                <w:webHidden/>
              </w:rPr>
              <w:instrText xml:space="preserve"> PAGEREF _Toc236305188 \h </w:instrText>
            </w:r>
            <w:r>
              <w:rPr>
                <w:webHidden/>
              </w:rPr>
            </w:r>
            <w:r>
              <w:rPr>
                <w:webHidden/>
              </w:rPr>
              <w:fldChar w:fldCharType="separate"/>
            </w:r>
            <w:r>
              <w:rPr>
                <w:webHidden/>
              </w:rPr>
              <w:t>27</w:t>
            </w:r>
            <w:r>
              <w:rPr>
                <w:webHidden/>
              </w:rPr>
              <w:fldChar w:fldCharType="end"/>
            </w:r>
          </w:hyperlink>
        </w:p>
        <w:p w14:paraId="267945E5"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89" w:history="1">
            <w:r w:rsidRPr="00CA77A1">
              <w:rPr>
                <w:rStyle w:val="Hyperlink"/>
              </w:rPr>
              <w:t>3.</w:t>
            </w:r>
            <w:r>
              <w:rPr>
                <w:rFonts w:asciiTheme="minorHAnsi" w:eastAsiaTheme="minorEastAsia" w:hAnsiTheme="minorHAnsi"/>
                <w:smallCaps w:val="0"/>
                <w:kern w:val="2"/>
                <w:szCs w:val="24"/>
                <w:lang w:bidi="ar-SA"/>
                <w14:ligatures w14:val="standardContextual"/>
              </w:rPr>
              <w:tab/>
            </w:r>
            <w:r w:rsidRPr="00CA77A1">
              <w:rPr>
                <w:rStyle w:val="Hyperlink"/>
              </w:rPr>
              <w:t>Broad-Based Fees</w:t>
            </w:r>
            <w:r>
              <w:rPr>
                <w:webHidden/>
              </w:rPr>
              <w:tab/>
            </w:r>
            <w:r>
              <w:rPr>
                <w:webHidden/>
              </w:rPr>
              <w:fldChar w:fldCharType="begin"/>
            </w:r>
            <w:r>
              <w:rPr>
                <w:webHidden/>
              </w:rPr>
              <w:instrText xml:space="preserve"> PAGEREF _Toc236305189 \h </w:instrText>
            </w:r>
            <w:r>
              <w:rPr>
                <w:webHidden/>
              </w:rPr>
            </w:r>
            <w:r>
              <w:rPr>
                <w:webHidden/>
              </w:rPr>
              <w:fldChar w:fldCharType="separate"/>
            </w:r>
            <w:r>
              <w:rPr>
                <w:webHidden/>
              </w:rPr>
              <w:t>27</w:t>
            </w:r>
            <w:r>
              <w:rPr>
                <w:webHidden/>
              </w:rPr>
              <w:fldChar w:fldCharType="end"/>
            </w:r>
          </w:hyperlink>
        </w:p>
        <w:p w14:paraId="157B1944"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0" w:history="1">
            <w:r w:rsidRPr="00CA77A1">
              <w:rPr>
                <w:rStyle w:val="Hyperlink"/>
              </w:rPr>
              <w:t>4.</w:t>
            </w:r>
            <w:r>
              <w:rPr>
                <w:rFonts w:asciiTheme="minorHAnsi" w:eastAsiaTheme="minorEastAsia" w:hAnsiTheme="minorHAnsi"/>
                <w:smallCaps w:val="0"/>
                <w:kern w:val="2"/>
                <w:szCs w:val="24"/>
                <w:lang w:bidi="ar-SA"/>
                <w14:ligatures w14:val="standardContextual"/>
              </w:rPr>
              <w:tab/>
            </w:r>
            <w:r w:rsidRPr="00CA77A1">
              <w:rPr>
                <w:rStyle w:val="Hyperlink"/>
              </w:rPr>
              <w:t>Salary Recovery Fee</w:t>
            </w:r>
            <w:r>
              <w:rPr>
                <w:webHidden/>
              </w:rPr>
              <w:tab/>
            </w:r>
            <w:r>
              <w:rPr>
                <w:webHidden/>
              </w:rPr>
              <w:fldChar w:fldCharType="begin"/>
            </w:r>
            <w:r>
              <w:rPr>
                <w:webHidden/>
              </w:rPr>
              <w:instrText xml:space="preserve"> PAGEREF _Toc236305190 \h </w:instrText>
            </w:r>
            <w:r>
              <w:rPr>
                <w:webHidden/>
              </w:rPr>
            </w:r>
            <w:r>
              <w:rPr>
                <w:webHidden/>
              </w:rPr>
              <w:fldChar w:fldCharType="separate"/>
            </w:r>
            <w:r>
              <w:rPr>
                <w:webHidden/>
              </w:rPr>
              <w:t>27</w:t>
            </w:r>
            <w:r>
              <w:rPr>
                <w:webHidden/>
              </w:rPr>
              <w:fldChar w:fldCharType="end"/>
            </w:r>
          </w:hyperlink>
        </w:p>
        <w:p w14:paraId="2E850C96"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1" w:history="1">
            <w:r w:rsidRPr="00CA77A1">
              <w:rPr>
                <w:rStyle w:val="Hyperlink"/>
              </w:rPr>
              <w:t>5.</w:t>
            </w:r>
            <w:r>
              <w:rPr>
                <w:rFonts w:asciiTheme="minorHAnsi" w:eastAsiaTheme="minorEastAsia" w:hAnsiTheme="minorHAnsi"/>
                <w:smallCaps w:val="0"/>
                <w:kern w:val="2"/>
                <w:szCs w:val="24"/>
                <w:lang w:bidi="ar-SA"/>
                <w14:ligatures w14:val="standardContextual"/>
              </w:rPr>
              <w:tab/>
            </w:r>
            <w:r w:rsidRPr="00CA77A1">
              <w:rPr>
                <w:rStyle w:val="Hyperlink"/>
              </w:rPr>
              <w:t>Service Center Fees</w:t>
            </w:r>
            <w:r>
              <w:rPr>
                <w:webHidden/>
              </w:rPr>
              <w:tab/>
            </w:r>
            <w:r>
              <w:rPr>
                <w:webHidden/>
              </w:rPr>
              <w:fldChar w:fldCharType="begin"/>
            </w:r>
            <w:r>
              <w:rPr>
                <w:webHidden/>
              </w:rPr>
              <w:instrText xml:space="preserve"> PAGEREF _Toc236305191 \h </w:instrText>
            </w:r>
            <w:r>
              <w:rPr>
                <w:webHidden/>
              </w:rPr>
            </w:r>
            <w:r>
              <w:rPr>
                <w:webHidden/>
              </w:rPr>
              <w:fldChar w:fldCharType="separate"/>
            </w:r>
            <w:r>
              <w:rPr>
                <w:webHidden/>
              </w:rPr>
              <w:t>28</w:t>
            </w:r>
            <w:r>
              <w:rPr>
                <w:webHidden/>
              </w:rPr>
              <w:fldChar w:fldCharType="end"/>
            </w:r>
          </w:hyperlink>
        </w:p>
        <w:p w14:paraId="4140A9E3"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2" w:history="1">
            <w:r w:rsidRPr="00CA77A1">
              <w:rPr>
                <w:rStyle w:val="Hyperlink"/>
              </w:rPr>
              <w:t>6.</w:t>
            </w:r>
            <w:r>
              <w:rPr>
                <w:rFonts w:asciiTheme="minorHAnsi" w:eastAsiaTheme="minorEastAsia" w:hAnsiTheme="minorHAnsi"/>
                <w:smallCaps w:val="0"/>
                <w:kern w:val="2"/>
                <w:szCs w:val="24"/>
                <w:lang w:bidi="ar-SA"/>
                <w14:ligatures w14:val="standardContextual"/>
              </w:rPr>
              <w:tab/>
            </w:r>
            <w:r w:rsidRPr="00CA77A1">
              <w:rPr>
                <w:rStyle w:val="Hyperlink"/>
              </w:rPr>
              <w:t>Faculty &amp; Staff</w:t>
            </w:r>
            <w:r>
              <w:rPr>
                <w:webHidden/>
              </w:rPr>
              <w:tab/>
            </w:r>
            <w:r>
              <w:rPr>
                <w:webHidden/>
              </w:rPr>
              <w:fldChar w:fldCharType="begin"/>
            </w:r>
            <w:r>
              <w:rPr>
                <w:webHidden/>
              </w:rPr>
              <w:instrText xml:space="preserve"> PAGEREF _Toc236305192 \h </w:instrText>
            </w:r>
            <w:r>
              <w:rPr>
                <w:webHidden/>
              </w:rPr>
            </w:r>
            <w:r>
              <w:rPr>
                <w:webHidden/>
              </w:rPr>
              <w:fldChar w:fldCharType="separate"/>
            </w:r>
            <w:r>
              <w:rPr>
                <w:webHidden/>
              </w:rPr>
              <w:t>28</w:t>
            </w:r>
            <w:r>
              <w:rPr>
                <w:webHidden/>
              </w:rPr>
              <w:fldChar w:fldCharType="end"/>
            </w:r>
          </w:hyperlink>
        </w:p>
        <w:p w14:paraId="68C249AC"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3" w:history="1">
            <w:r w:rsidRPr="00CA77A1">
              <w:rPr>
                <w:rStyle w:val="Hyperlink"/>
              </w:rPr>
              <w:t>7.</w:t>
            </w:r>
            <w:r>
              <w:rPr>
                <w:rFonts w:asciiTheme="minorHAnsi" w:eastAsiaTheme="minorEastAsia" w:hAnsiTheme="minorHAnsi"/>
                <w:smallCaps w:val="0"/>
                <w:kern w:val="2"/>
                <w:szCs w:val="24"/>
                <w:lang w:bidi="ar-SA"/>
                <w14:ligatures w14:val="standardContextual"/>
              </w:rPr>
              <w:tab/>
            </w:r>
            <w:r w:rsidRPr="00CA77A1">
              <w:rPr>
                <w:rStyle w:val="Hyperlink"/>
              </w:rPr>
              <w:t>Campus Dining and Campus Living Rates</w:t>
            </w:r>
            <w:r>
              <w:rPr>
                <w:webHidden/>
              </w:rPr>
              <w:tab/>
            </w:r>
            <w:r>
              <w:rPr>
                <w:webHidden/>
              </w:rPr>
              <w:fldChar w:fldCharType="begin"/>
            </w:r>
            <w:r>
              <w:rPr>
                <w:webHidden/>
              </w:rPr>
              <w:instrText xml:space="preserve"> PAGEREF _Toc236305193 \h </w:instrText>
            </w:r>
            <w:r>
              <w:rPr>
                <w:webHidden/>
              </w:rPr>
            </w:r>
            <w:r>
              <w:rPr>
                <w:webHidden/>
              </w:rPr>
              <w:fldChar w:fldCharType="separate"/>
            </w:r>
            <w:r>
              <w:rPr>
                <w:webHidden/>
              </w:rPr>
              <w:t>28</w:t>
            </w:r>
            <w:r>
              <w:rPr>
                <w:webHidden/>
              </w:rPr>
              <w:fldChar w:fldCharType="end"/>
            </w:r>
          </w:hyperlink>
        </w:p>
        <w:p w14:paraId="00912E05"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4" w:history="1">
            <w:r w:rsidRPr="00CA77A1">
              <w:rPr>
                <w:rStyle w:val="Hyperlink"/>
              </w:rPr>
              <w:t>8.</w:t>
            </w:r>
            <w:r>
              <w:rPr>
                <w:rFonts w:asciiTheme="minorHAnsi" w:eastAsiaTheme="minorEastAsia" w:hAnsiTheme="minorHAnsi"/>
                <w:smallCaps w:val="0"/>
                <w:kern w:val="2"/>
                <w:szCs w:val="24"/>
                <w:lang w:bidi="ar-SA"/>
                <w14:ligatures w14:val="standardContextual"/>
              </w:rPr>
              <w:tab/>
            </w:r>
            <w:r w:rsidRPr="00CA77A1">
              <w:rPr>
                <w:rStyle w:val="Hyperlink"/>
              </w:rPr>
              <w:t>Royalty and Patent Income</w:t>
            </w:r>
            <w:r>
              <w:rPr>
                <w:webHidden/>
              </w:rPr>
              <w:tab/>
            </w:r>
            <w:r>
              <w:rPr>
                <w:webHidden/>
              </w:rPr>
              <w:fldChar w:fldCharType="begin"/>
            </w:r>
            <w:r>
              <w:rPr>
                <w:webHidden/>
              </w:rPr>
              <w:instrText xml:space="preserve"> PAGEREF _Toc236305194 \h </w:instrText>
            </w:r>
            <w:r>
              <w:rPr>
                <w:webHidden/>
              </w:rPr>
            </w:r>
            <w:r>
              <w:rPr>
                <w:webHidden/>
              </w:rPr>
              <w:fldChar w:fldCharType="separate"/>
            </w:r>
            <w:r>
              <w:rPr>
                <w:webHidden/>
              </w:rPr>
              <w:t>28</w:t>
            </w:r>
            <w:r>
              <w:rPr>
                <w:webHidden/>
              </w:rPr>
              <w:fldChar w:fldCharType="end"/>
            </w:r>
          </w:hyperlink>
        </w:p>
        <w:p w14:paraId="5C9F23D2" w14:textId="77777777" w:rsidR="006E0D69" w:rsidRDefault="006E0D69" w:rsidP="006E0D69">
          <w:pPr>
            <w:pStyle w:val="TOC1"/>
            <w:spacing w:line="240" w:lineRule="auto"/>
            <w:rPr>
              <w:rFonts w:asciiTheme="minorHAnsi" w:eastAsiaTheme="minorEastAsia" w:hAnsiTheme="minorHAnsi"/>
              <w:b w:val="0"/>
              <w:bCs w:val="0"/>
              <w:caps w:val="0"/>
              <w:kern w:val="2"/>
              <w:sz w:val="24"/>
              <w:szCs w:val="24"/>
              <w:lang w:bidi="ar-SA"/>
              <w14:ligatures w14:val="standardContextual"/>
            </w:rPr>
          </w:pPr>
          <w:hyperlink w:anchor="_Toc236305195" w:history="1">
            <w:r w:rsidRPr="00CA77A1">
              <w:rPr>
                <w:rStyle w:val="Hyperlink"/>
                <w:rFonts w:eastAsiaTheme="majorEastAsia" w:cstheme="majorBidi"/>
              </w:rPr>
              <w:t>Unit Budgets</w:t>
            </w:r>
            <w:r>
              <w:rPr>
                <w:webHidden/>
              </w:rPr>
              <w:tab/>
            </w:r>
            <w:r>
              <w:rPr>
                <w:webHidden/>
              </w:rPr>
              <w:fldChar w:fldCharType="begin"/>
            </w:r>
            <w:r>
              <w:rPr>
                <w:webHidden/>
              </w:rPr>
              <w:instrText xml:space="preserve"> PAGEREF _Toc236305195 \h </w:instrText>
            </w:r>
            <w:r>
              <w:rPr>
                <w:webHidden/>
              </w:rPr>
            </w:r>
            <w:r>
              <w:rPr>
                <w:webHidden/>
              </w:rPr>
              <w:fldChar w:fldCharType="separate"/>
            </w:r>
            <w:r>
              <w:rPr>
                <w:webHidden/>
              </w:rPr>
              <w:t>29</w:t>
            </w:r>
            <w:r>
              <w:rPr>
                <w:webHidden/>
              </w:rPr>
              <w:fldChar w:fldCharType="end"/>
            </w:r>
          </w:hyperlink>
        </w:p>
        <w:p w14:paraId="602E1D5C"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6" w:history="1">
            <w:r w:rsidRPr="00CA77A1">
              <w:rPr>
                <w:rStyle w:val="Hyperlink"/>
                <w:rFonts w:eastAsiaTheme="majorEastAsia" w:cstheme="majorBidi"/>
              </w:rPr>
              <w:t>1.</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Decanal Units</w:t>
            </w:r>
            <w:r>
              <w:rPr>
                <w:webHidden/>
              </w:rPr>
              <w:tab/>
            </w:r>
            <w:r>
              <w:rPr>
                <w:webHidden/>
              </w:rPr>
              <w:fldChar w:fldCharType="begin"/>
            </w:r>
            <w:r>
              <w:rPr>
                <w:webHidden/>
              </w:rPr>
              <w:instrText xml:space="preserve"> PAGEREF _Toc236305196 \h </w:instrText>
            </w:r>
            <w:r>
              <w:rPr>
                <w:webHidden/>
              </w:rPr>
            </w:r>
            <w:r>
              <w:rPr>
                <w:webHidden/>
              </w:rPr>
              <w:fldChar w:fldCharType="separate"/>
            </w:r>
            <w:r>
              <w:rPr>
                <w:webHidden/>
              </w:rPr>
              <w:t>29</w:t>
            </w:r>
            <w:r>
              <w:rPr>
                <w:webHidden/>
              </w:rPr>
              <w:fldChar w:fldCharType="end"/>
            </w:r>
          </w:hyperlink>
        </w:p>
        <w:p w14:paraId="64293134"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7" w:history="1">
            <w:r w:rsidRPr="00CA77A1">
              <w:rPr>
                <w:rStyle w:val="Hyperlink"/>
                <w:rFonts w:eastAsiaTheme="majorEastAsia" w:cstheme="majorBidi"/>
              </w:rPr>
              <w:t>2.</w:t>
            </w:r>
            <w:r>
              <w:rPr>
                <w:rFonts w:asciiTheme="minorHAnsi" w:eastAsiaTheme="minorEastAsia" w:hAnsiTheme="minorHAnsi"/>
                <w:smallCaps w:val="0"/>
                <w:kern w:val="2"/>
                <w:szCs w:val="24"/>
                <w:lang w:bidi="ar-SA"/>
                <w14:ligatures w14:val="standardContextual"/>
              </w:rPr>
              <w:tab/>
            </w:r>
            <w:r w:rsidRPr="00CA77A1">
              <w:rPr>
                <w:rStyle w:val="Hyperlink"/>
                <w:rFonts w:eastAsiaTheme="majorEastAsia" w:cstheme="majorBidi"/>
              </w:rPr>
              <w:t>Academic Support</w:t>
            </w:r>
            <w:r>
              <w:rPr>
                <w:webHidden/>
              </w:rPr>
              <w:tab/>
            </w:r>
            <w:r>
              <w:rPr>
                <w:webHidden/>
              </w:rPr>
              <w:fldChar w:fldCharType="begin"/>
            </w:r>
            <w:r>
              <w:rPr>
                <w:webHidden/>
              </w:rPr>
              <w:instrText xml:space="preserve"> PAGEREF _Toc236305197 \h </w:instrText>
            </w:r>
            <w:r>
              <w:rPr>
                <w:webHidden/>
              </w:rPr>
            </w:r>
            <w:r>
              <w:rPr>
                <w:webHidden/>
              </w:rPr>
              <w:fldChar w:fldCharType="separate"/>
            </w:r>
            <w:r>
              <w:rPr>
                <w:webHidden/>
              </w:rPr>
              <w:t>30</w:t>
            </w:r>
            <w:r>
              <w:rPr>
                <w:webHidden/>
              </w:rPr>
              <w:fldChar w:fldCharType="end"/>
            </w:r>
          </w:hyperlink>
        </w:p>
        <w:p w14:paraId="1B518F7B" w14:textId="77777777" w:rsidR="006E0D69" w:rsidRDefault="006E0D69" w:rsidP="006E0D69">
          <w:pPr>
            <w:pStyle w:val="TOC2"/>
            <w:rPr>
              <w:rFonts w:asciiTheme="minorHAnsi" w:eastAsiaTheme="minorEastAsia" w:hAnsiTheme="minorHAnsi"/>
              <w:smallCaps w:val="0"/>
              <w:kern w:val="2"/>
              <w:szCs w:val="24"/>
              <w:lang w:bidi="ar-SA"/>
              <w14:ligatures w14:val="standardContextual"/>
            </w:rPr>
          </w:pPr>
          <w:hyperlink w:anchor="_Toc236305198" w:history="1">
            <w:r w:rsidRPr="00CA77A1">
              <w:rPr>
                <w:rStyle w:val="Hyperlink"/>
              </w:rPr>
              <w:t>3.</w:t>
            </w:r>
            <w:r>
              <w:rPr>
                <w:rFonts w:asciiTheme="minorHAnsi" w:eastAsiaTheme="minorEastAsia" w:hAnsiTheme="minorHAnsi"/>
                <w:smallCaps w:val="0"/>
                <w:kern w:val="2"/>
                <w:szCs w:val="24"/>
                <w:lang w:bidi="ar-SA"/>
                <w14:ligatures w14:val="standardContextual"/>
              </w:rPr>
              <w:tab/>
            </w:r>
            <w:r w:rsidRPr="00CA77A1">
              <w:rPr>
                <w:rStyle w:val="Hyperlink"/>
              </w:rPr>
              <w:t>Funding Sources</w:t>
            </w:r>
            <w:r>
              <w:rPr>
                <w:webHidden/>
              </w:rPr>
              <w:tab/>
            </w:r>
            <w:r>
              <w:rPr>
                <w:webHidden/>
              </w:rPr>
              <w:fldChar w:fldCharType="begin"/>
            </w:r>
            <w:r>
              <w:rPr>
                <w:webHidden/>
              </w:rPr>
              <w:instrText xml:space="preserve"> PAGEREF _Toc236305198 \h </w:instrText>
            </w:r>
            <w:r>
              <w:rPr>
                <w:webHidden/>
              </w:rPr>
            </w:r>
            <w:r>
              <w:rPr>
                <w:webHidden/>
              </w:rPr>
              <w:fldChar w:fldCharType="separate"/>
            </w:r>
            <w:r>
              <w:rPr>
                <w:webHidden/>
              </w:rPr>
              <w:t>32</w:t>
            </w:r>
            <w:r>
              <w:rPr>
                <w:webHidden/>
              </w:rPr>
              <w:fldChar w:fldCharType="end"/>
            </w:r>
          </w:hyperlink>
        </w:p>
        <w:p w14:paraId="22FA1144" w14:textId="77777777" w:rsidR="006E0D69" w:rsidRDefault="006E0D69" w:rsidP="006E0D69">
          <w:pPr>
            <w:pStyle w:val="TOC1"/>
            <w:spacing w:after="0" w:line="240" w:lineRule="auto"/>
            <w:rPr>
              <w:rFonts w:asciiTheme="minorHAnsi" w:eastAsiaTheme="minorEastAsia" w:hAnsiTheme="minorHAnsi"/>
              <w:b w:val="0"/>
              <w:bCs w:val="0"/>
              <w:caps w:val="0"/>
              <w:kern w:val="2"/>
              <w:sz w:val="24"/>
              <w:szCs w:val="24"/>
              <w:lang w:bidi="ar-SA"/>
              <w14:ligatures w14:val="standardContextual"/>
            </w:rPr>
          </w:pPr>
          <w:hyperlink w:anchor="_Toc236305199" w:history="1">
            <w:r w:rsidRPr="00CA77A1">
              <w:rPr>
                <w:rStyle w:val="Hyperlink"/>
              </w:rPr>
              <w:t>Financial Section</w:t>
            </w:r>
            <w:r>
              <w:rPr>
                <w:webHidden/>
              </w:rPr>
              <w:tab/>
            </w:r>
            <w:r>
              <w:rPr>
                <w:webHidden/>
              </w:rPr>
              <w:fldChar w:fldCharType="begin"/>
            </w:r>
            <w:r>
              <w:rPr>
                <w:webHidden/>
              </w:rPr>
              <w:instrText xml:space="preserve"> PAGEREF _Toc236305199 \h </w:instrText>
            </w:r>
            <w:r>
              <w:rPr>
                <w:webHidden/>
              </w:rPr>
            </w:r>
            <w:r>
              <w:rPr>
                <w:webHidden/>
              </w:rPr>
              <w:fldChar w:fldCharType="separate"/>
            </w:r>
            <w:r>
              <w:rPr>
                <w:webHidden/>
              </w:rPr>
              <w:t>35</w:t>
            </w:r>
            <w:r>
              <w:rPr>
                <w:webHidden/>
              </w:rPr>
              <w:fldChar w:fldCharType="end"/>
            </w:r>
          </w:hyperlink>
        </w:p>
        <w:p w14:paraId="6E751E4A" w14:textId="77777777" w:rsidR="006E0D69" w:rsidRDefault="00D518E8" w:rsidP="006E0D69">
          <w:pPr>
            <w:spacing w:before="0" w:after="0" w:line="240" w:lineRule="auto"/>
          </w:pPr>
          <w:r>
            <w:rPr>
              <w:b/>
              <w:bCs/>
              <w:noProof/>
            </w:rPr>
            <w:fldChar w:fldCharType="end"/>
          </w:r>
        </w:p>
      </w:sdtContent>
    </w:sdt>
    <w:p w14:paraId="1E17ECC1" w14:textId="77777777" w:rsidR="003856EE" w:rsidRDefault="00D518E8" w:rsidP="003856EE">
      <w:pPr>
        <w:pStyle w:val="Level1"/>
      </w:pPr>
      <w:bookmarkStart w:id="0" w:name="_Toc236305165"/>
      <w:r w:rsidRPr="00A82C6E">
        <w:lastRenderedPageBreak/>
        <w:t>Strategic Overview</w:t>
      </w:r>
      <w:bookmarkEnd w:id="0"/>
    </w:p>
    <w:p w14:paraId="16E262EF" w14:textId="77777777" w:rsidR="003856EE" w:rsidRPr="00A26A0A" w:rsidRDefault="00D518E8" w:rsidP="003856EE">
      <w:pPr>
        <w:pStyle w:val="Level2"/>
      </w:pPr>
      <w:bookmarkStart w:id="1" w:name="_Toc236305166"/>
      <w:r w:rsidRPr="00A26A0A">
        <w:t>Executive Summary</w:t>
      </w:r>
      <w:bookmarkEnd w:id="1"/>
    </w:p>
    <w:p w14:paraId="05FA34DB" w14:textId="77777777" w:rsidR="003856EE" w:rsidRPr="00092117" w:rsidRDefault="00D518E8" w:rsidP="003856EE">
      <w:r w:rsidRPr="00092117">
        <w:t xml:space="preserve">The objective of the UB Annual Operating Budget Report is to provide the University at Buffalo (UB) community with a comprehensive summary of the </w:t>
      </w:r>
      <w:r>
        <w:t xml:space="preserve">university’s </w:t>
      </w:r>
      <w:r w:rsidRPr="00092117">
        <w:t>financial plans</w:t>
      </w:r>
      <w:r>
        <w:t xml:space="preserve"> for the current fiscal year</w:t>
      </w:r>
      <w:r w:rsidRPr="00092117">
        <w:t xml:space="preserve">. </w:t>
      </w:r>
    </w:p>
    <w:p w14:paraId="6ACA7AB7" w14:textId="77777777" w:rsidR="003856EE" w:rsidRDefault="00D518E8" w:rsidP="003856EE">
      <w:r>
        <w:t xml:space="preserve">For </w:t>
      </w:r>
      <w:sdt>
        <w:sdtPr>
          <w:alias w:val="CurrentYear XXXX/XX"/>
          <w:tag w:val="&lt;ReportPackage&gt;&lt;Variable id=&quot;cf41f8de-15d3-4fdf-993b-adb992bbaf9e&quot; usageType=&quot;Value&quot; /&gt;&lt;/ReportPackage&gt;"/>
          <w:id w:val="-1303229383"/>
          <w:placeholder>
            <w:docPart w:val="CF44B5C5215C4A34BD3EFA5AAFFEF23C"/>
          </w:placeholder>
          <w:text/>
        </w:sdtPr>
        <w:sdtEndPr/>
        <w:sdtContent>
          <w:r>
            <w:t>2026/27</w:t>
          </w:r>
        </w:sdtContent>
      </w:sdt>
      <w:r>
        <w:t xml:space="preserve">, </w:t>
      </w:r>
      <w:r w:rsidRPr="00092117">
        <w:t xml:space="preserve">UB continues to hold a strong financial position. </w:t>
      </w:r>
      <w:r>
        <w:t>We</w:t>
      </w:r>
      <w:r w:rsidRPr="00092117">
        <w:t xml:space="preserve"> have </w:t>
      </w:r>
      <w:r>
        <w:t>significant</w:t>
      </w:r>
      <w:r w:rsidRPr="00092117">
        <w:t xml:space="preserve"> cash reserves due to </w:t>
      </w:r>
      <w:r>
        <w:t>f</w:t>
      </w:r>
      <w:r w:rsidRPr="00092117">
        <w:t>orward-looking financial stewardship</w:t>
      </w:r>
      <w:r>
        <w:t>, long-range p</w:t>
      </w:r>
      <w:r w:rsidRPr="00092117">
        <w:t>lanning</w:t>
      </w:r>
      <w:r>
        <w:t xml:space="preserve">, and the strength of </w:t>
      </w:r>
      <w:r w:rsidRPr="00092117">
        <w:t>UB’s enrollment.</w:t>
      </w:r>
      <w:r>
        <w:t xml:space="preserve"> Additionally, after more than a decade of declining or flat tax support, New York State has for </w:t>
      </w:r>
      <w:r w:rsidR="00DE3FAE">
        <w:t xml:space="preserve">five </w:t>
      </w:r>
      <w:r w:rsidR="004570B0">
        <w:t>consecutive years</w:t>
      </w:r>
      <w:r>
        <w:t xml:space="preserve"> committed additional funding to campuses across the SUNY system including to UB. </w:t>
      </w:r>
    </w:p>
    <w:p w14:paraId="74D2B16B" w14:textId="77777777" w:rsidR="003856EE" w:rsidRPr="00681113" w:rsidRDefault="00D518E8" w:rsidP="003856EE">
      <w:pPr>
        <w:pStyle w:val="Level2"/>
      </w:pPr>
      <w:bookmarkStart w:id="2" w:name="_Toc236305167"/>
      <w:r w:rsidRPr="00681113">
        <w:t>UB Vision and Strategic Goals</w:t>
      </w:r>
      <w:bookmarkEnd w:id="2"/>
    </w:p>
    <w:p w14:paraId="51ED4849" w14:textId="77777777" w:rsidR="003856EE" w:rsidRPr="00681113" w:rsidRDefault="00D518E8" w:rsidP="003856EE">
      <w:r w:rsidRPr="00681113">
        <w:t xml:space="preserve">Building on the existing strong foundation of academic excellence, knowledge and understanding, UB’s vision is to rank in the nation's top 25 public research universities, thereby expanding the scope of our reach and strengthening our world-wide impact. We will achieve this by accomplishing the following strategic goals: </w:t>
      </w:r>
    </w:p>
    <w:p w14:paraId="16FB0073" w14:textId="77777777" w:rsidR="003856EE" w:rsidRPr="00681113" w:rsidRDefault="00D518E8" w:rsidP="003856EE">
      <w:pPr>
        <w:pStyle w:val="bulletub"/>
      </w:pPr>
      <w:r w:rsidRPr="00681113">
        <w:rPr>
          <w:b/>
          <w:bCs/>
        </w:rPr>
        <w:t>Achieve</w:t>
      </w:r>
      <w:r w:rsidRPr="00681113">
        <w:t xml:space="preserve"> greater societal impact locally and globally by enhancing faculty productivity, research funding and recognition; encouraging innovation and interdisciplinary collaboration; and enhancing research environments and faculty support structures.</w:t>
      </w:r>
    </w:p>
    <w:p w14:paraId="364CECC8" w14:textId="77777777" w:rsidR="003856EE" w:rsidRPr="00681113" w:rsidRDefault="00D518E8" w:rsidP="003856EE">
      <w:pPr>
        <w:pStyle w:val="bulletub"/>
      </w:pPr>
      <w:r w:rsidRPr="00681113">
        <w:rPr>
          <w:b/>
          <w:bCs/>
        </w:rPr>
        <w:t>Provide</w:t>
      </w:r>
      <w:r w:rsidRPr="00681113">
        <w:t xml:space="preserve"> our students with transformative, innovative, and research-grounded educational experiences while elevating students’ academic profile, improving retention and graduation rates, enhancing academic and career support structures, enhancing educational environments, and expanding UB’s leadership in international education.</w:t>
      </w:r>
    </w:p>
    <w:p w14:paraId="4024868E" w14:textId="77777777" w:rsidR="003856EE" w:rsidRPr="00681113" w:rsidRDefault="00D518E8" w:rsidP="003856EE">
      <w:pPr>
        <w:pStyle w:val="bulletub"/>
      </w:pPr>
      <w:r w:rsidRPr="00681113">
        <w:rPr>
          <w:b/>
          <w:bCs/>
        </w:rPr>
        <w:t>Promote</w:t>
      </w:r>
      <w:r w:rsidRPr="00681113">
        <w:t xml:space="preserve"> a university-wide culture of equity and inclusion by integrating inclusive excellence into all aspects of our university, further enhancing faculty and student diversity, and implementing best practices in recruitment and retention.</w:t>
      </w:r>
    </w:p>
    <w:p w14:paraId="544ABD84" w14:textId="77777777" w:rsidR="003856EE" w:rsidRDefault="00D518E8" w:rsidP="003856EE">
      <w:pPr>
        <w:pStyle w:val="bulletub"/>
      </w:pPr>
      <w:r w:rsidRPr="00681113">
        <w:rPr>
          <w:b/>
          <w:bCs/>
        </w:rPr>
        <w:t>Deepen</w:t>
      </w:r>
      <w:r w:rsidRPr="00681113">
        <w:t xml:space="preserve"> our engagement in the regional community by continuing to build partnerships in the local community, improving regional health care outcomes, and making Buffalo a destination for health sciences research, education and care.</w:t>
      </w:r>
    </w:p>
    <w:p w14:paraId="5255592D" w14:textId="77777777" w:rsidR="003856EE" w:rsidRPr="006A3CC4" w:rsidRDefault="00D518E8" w:rsidP="003856EE">
      <w:pPr>
        <w:pStyle w:val="Level2"/>
      </w:pPr>
      <w:bookmarkStart w:id="3" w:name="_Toc236305168"/>
      <w:r w:rsidRPr="006A3CC4">
        <w:lastRenderedPageBreak/>
        <w:t>UB as New York State Flagship Institution</w:t>
      </w:r>
      <w:bookmarkEnd w:id="3"/>
    </w:p>
    <w:p w14:paraId="2F4B0697" w14:textId="77777777" w:rsidR="003856EE" w:rsidRPr="006A3CC4" w:rsidRDefault="00D518E8" w:rsidP="003856EE">
      <w:r w:rsidRPr="006A3CC4">
        <w:t>On January 5, 2022, Governor Kathy Hochul announced the formal designation of the University at Buffalo and Stony Brook University as New York State’s flagship universities. The official recognition of these premier centers of higher education as joint flagships of the State University of New York (SUNY) system reflects the preeminent role that the University at Buffalo (UB) and Stony Brook University (SBU) play statewide, nationally and internationally as models of research and academic excellence. This designation acknowledges the excellence and reputation of our universities, and it will further enhance our ability to continue to recruit the world’s most accomplished faculty and attract outstanding students — regardless of their income or socioeconomic background — and attract even more highly competitive federal research funding.</w:t>
      </w:r>
    </w:p>
    <w:p w14:paraId="6C489044" w14:textId="77777777" w:rsidR="003856EE" w:rsidRPr="006A3CC4" w:rsidRDefault="00D518E8" w:rsidP="003856EE">
      <w:r w:rsidRPr="006A3CC4">
        <w:t>Across the country, flagship universities are those that provide vital leadership in advancing their home state’s public higher education mission. These universities, most of which, like UB and SBU, are invited members of the Association of American Universities (AAU), are the preeminent centers for research and graduate education in their respective states. They also provide a comprehensive array of professional schools and degree programs and are proven economic catalysts. Flagships attract the world’s best and brightest faculty and students and are nationally and internationally recognized for the quality and impact of their research and academic innovation and rigor.</w:t>
      </w:r>
    </w:p>
    <w:p w14:paraId="36D3707F" w14:textId="77777777" w:rsidR="003856EE" w:rsidRDefault="00D518E8" w:rsidP="003856EE">
      <w:r>
        <w:tab/>
      </w:r>
    </w:p>
    <w:p w14:paraId="688F9246" w14:textId="77777777" w:rsidR="003856EE" w:rsidRDefault="00D518E8" w:rsidP="003856EE">
      <w:pPr>
        <w:spacing w:before="0" w:after="160"/>
        <w:ind w:left="0"/>
      </w:pPr>
      <w:r>
        <w:br w:type="page"/>
      </w:r>
    </w:p>
    <w:p w14:paraId="66EB74F9" w14:textId="77777777" w:rsidR="003856EE" w:rsidRPr="00165EA0" w:rsidRDefault="00D518E8" w:rsidP="003856EE">
      <w:pPr>
        <w:keepNext/>
        <w:keepLines/>
        <w:pBdr>
          <w:bottom w:val="single" w:sz="4" w:space="2" w:color="E56A54" w:themeColor="accent2"/>
        </w:pBdr>
        <w:spacing w:before="360" w:after="120"/>
        <w:ind w:left="0"/>
        <w:outlineLvl w:val="0"/>
        <w:rPr>
          <w:rFonts w:cs="Times New Roman"/>
          <w:color w:val="002F56"/>
          <w:sz w:val="36"/>
          <w:szCs w:val="40"/>
        </w:rPr>
      </w:pPr>
      <w:bookmarkStart w:id="4" w:name="_Toc236305169"/>
      <w:r w:rsidRPr="00165EA0">
        <w:rPr>
          <w:rFonts w:cs="Times New Roman"/>
          <w:color w:val="002F56"/>
          <w:sz w:val="36"/>
          <w:szCs w:val="40"/>
        </w:rPr>
        <w:lastRenderedPageBreak/>
        <w:t>Operating Budget</w:t>
      </w:r>
      <w:bookmarkEnd w:id="4"/>
    </w:p>
    <w:p w14:paraId="71F363B9" w14:textId="77777777" w:rsidR="003856EE" w:rsidRPr="00F035E1" w:rsidRDefault="00D518E8" w:rsidP="003B5D4A">
      <w:pPr>
        <w:pStyle w:val="ListParagraph"/>
        <w:keepNext/>
        <w:keepLines/>
        <w:numPr>
          <w:ilvl w:val="0"/>
          <w:numId w:val="34"/>
        </w:numPr>
        <w:outlineLvl w:val="1"/>
        <w:rPr>
          <w:rFonts w:cs="Times New Roman"/>
          <w:color w:val="990000"/>
          <w:sz w:val="32"/>
          <w:szCs w:val="36"/>
        </w:rPr>
      </w:pPr>
      <w:bookmarkStart w:id="5" w:name="_Toc236305170"/>
      <w:r w:rsidRPr="00F035E1">
        <w:rPr>
          <w:rFonts w:cs="Times New Roman"/>
          <w:color w:val="990000"/>
          <w:sz w:val="32"/>
          <w:szCs w:val="36"/>
        </w:rPr>
        <w:t>Projected University Operating Budget</w:t>
      </w:r>
      <w:bookmarkEnd w:id="5"/>
      <w:r w:rsidRPr="00F035E1">
        <w:rPr>
          <w:rFonts w:cs="Times New Roman"/>
          <w:color w:val="990000"/>
          <w:sz w:val="32"/>
          <w:szCs w:val="36"/>
        </w:rPr>
        <w:t xml:space="preserve"> </w:t>
      </w:r>
    </w:p>
    <w:p w14:paraId="2145A64C" w14:textId="77777777" w:rsidR="003856EE" w:rsidRPr="001D2920" w:rsidRDefault="00D518E8" w:rsidP="003B5D4A">
      <w:pPr>
        <w:pStyle w:val="ListParagraph"/>
        <w:numPr>
          <w:ilvl w:val="0"/>
          <w:numId w:val="9"/>
        </w:numPr>
        <w:spacing w:after="120" w:line="240" w:lineRule="auto"/>
        <w:rPr>
          <w:rFonts w:cs="Calibri"/>
          <w:b/>
          <w:bCs/>
        </w:rPr>
      </w:pPr>
      <w:r w:rsidRPr="001D2920">
        <w:rPr>
          <w:rFonts w:cs="Calibri"/>
          <w:b/>
          <w:bCs/>
        </w:rPr>
        <w:t xml:space="preserve">All-funds </w:t>
      </w:r>
      <w:sdt>
        <w:sdtPr>
          <w:rPr>
            <w:rFonts w:cs="Calibri"/>
            <w:b/>
            <w:bCs/>
          </w:rPr>
          <w:alias w:val="CurrentYear XXXX/XXXX"/>
          <w:tag w:val="&lt;ReportPackage&gt;&lt;Variable id=&quot;75ef574e-6368-4639-bee0-3a88537f0c27&quot; usageType=&quot;Value&quot; /&gt;&lt;/ReportPackage&gt;"/>
          <w:id w:val="-1939368177"/>
          <w:placeholder>
            <w:docPart w:val="984FAF0D1DC34A95A5FE759E821D4039"/>
          </w:placeholder>
          <w:text/>
        </w:sdtPr>
        <w:sdtEndPr/>
        <w:sdtContent>
          <w:r w:rsidRPr="001D2920">
            <w:rPr>
              <w:rFonts w:cs="Calibri"/>
              <w:b/>
              <w:bCs/>
            </w:rPr>
            <w:t>2026/2027</w:t>
          </w:r>
        </w:sdtContent>
      </w:sdt>
      <w:r w:rsidRPr="001D2920">
        <w:rPr>
          <w:rFonts w:cs="Calibri"/>
          <w:b/>
          <w:bCs/>
        </w:rPr>
        <w:t xml:space="preserve"> budget</w:t>
      </w:r>
    </w:p>
    <w:p w14:paraId="08096F47" w14:textId="77777777" w:rsidR="003856EE" w:rsidRPr="00165EA0" w:rsidRDefault="00D518E8" w:rsidP="003856EE">
      <w:pPr>
        <w:spacing w:after="0" w:line="240" w:lineRule="auto"/>
        <w:ind w:left="720"/>
        <w:rPr>
          <w:rFonts w:cs="Calibri"/>
        </w:rPr>
      </w:pPr>
      <w:r w:rsidRPr="00165EA0">
        <w:rPr>
          <w:rFonts w:cs="Calibri"/>
        </w:rPr>
        <w:t>Projected</w:t>
      </w:r>
      <w:r>
        <w:rPr>
          <w:rFonts w:cs="Calibri"/>
        </w:rPr>
        <w:t xml:space="preserve"> </w:t>
      </w:r>
      <w:sdt>
        <w:sdtPr>
          <w:rPr>
            <w:rFonts w:cs="Calibri"/>
          </w:rPr>
          <w:alias w:val="University Revenue"/>
          <w:tag w:val="&lt;ReportPackage&gt;&lt;Variable id=&quot;64b2755f-89a1-42aa-bae3-ed001d061da0&quot; usageType=&quot;Value&quot;/&gt;&lt;/ReportPackage&gt;"/>
          <w:id w:val="2142766947"/>
          <w:placeholder>
            <w:docPart w:val="6EA132C343634C4AAE795146A05687C0"/>
          </w:placeholder>
          <w:text/>
        </w:sdtPr>
        <w:sdtEndPr/>
        <w:sdtContent>
          <w:r>
            <w:rPr>
              <w:rFonts w:cs="Calibri"/>
            </w:rPr>
            <w:t xml:space="preserve"> $1,088 </w:t>
          </w:r>
        </w:sdtContent>
      </w:sdt>
      <w:r w:rsidRPr="00165EA0">
        <w:rPr>
          <w:rFonts w:cs="Calibri"/>
        </w:rPr>
        <w:t>at</w:t>
      </w:r>
      <w:r>
        <w:rPr>
          <w:rFonts w:cs="Calibri"/>
        </w:rPr>
        <w:t xml:space="preserve"> b</w:t>
      </w:r>
      <w:r w:rsidRPr="00D950F8">
        <w:rPr>
          <w:rFonts w:cs="Calibri"/>
        </w:rPr>
        <w:t>illion.</w:t>
      </w:r>
    </w:p>
    <w:p w14:paraId="6CFEBD13" w14:textId="77777777" w:rsidR="003856EE" w:rsidRPr="001D2920" w:rsidRDefault="00D518E8" w:rsidP="003B5D4A">
      <w:pPr>
        <w:pStyle w:val="ListParagraph"/>
        <w:numPr>
          <w:ilvl w:val="0"/>
          <w:numId w:val="9"/>
        </w:numPr>
        <w:spacing w:after="120" w:line="240" w:lineRule="auto"/>
        <w:rPr>
          <w:rFonts w:cs="Calibri"/>
          <w:b/>
          <w:bCs/>
        </w:rPr>
      </w:pPr>
      <w:r w:rsidRPr="001D2920">
        <w:rPr>
          <w:rFonts w:cs="Calibri"/>
          <w:b/>
          <w:bCs/>
        </w:rPr>
        <w:t>Tuition revenue</w:t>
      </w:r>
    </w:p>
    <w:p w14:paraId="03A86A48" w14:textId="77777777" w:rsidR="003856EE" w:rsidRPr="00081E4C" w:rsidRDefault="00D518E8" w:rsidP="003856EE">
      <w:pPr>
        <w:spacing w:after="0" w:line="240" w:lineRule="auto"/>
        <w:ind w:left="720"/>
        <w:rPr>
          <w:rFonts w:cs="Calibri"/>
        </w:rPr>
      </w:pPr>
      <w:r w:rsidRPr="00081E4C">
        <w:rPr>
          <w:rFonts w:cs="Calibri"/>
        </w:rPr>
        <w:t>Projected at</w:t>
      </w:r>
      <w:sdt>
        <w:sdtPr>
          <w:rPr>
            <w:rFonts w:cs="Calibri"/>
          </w:rPr>
          <w:alias w:val="Total Tuition"/>
          <w:tag w:val="&lt;ReportPackage&gt;&lt;Variable id=&quot;269208ba-3dd9-4d1e-847c-ff3202c2a25e&quot; usageType=&quot;Value&quot; /&gt;&lt;/ReportPackage&gt;"/>
          <w:id w:val="-1375917075"/>
          <w:placeholder>
            <w:docPart w:val="984FAF0D1DC34A95A5FE759E821D4039"/>
          </w:placeholder>
          <w:text/>
        </w:sdtPr>
        <w:sdtEndPr/>
        <w:sdtContent>
          <w:r>
            <w:rPr>
              <w:rFonts w:cs="Calibri"/>
            </w:rPr>
            <w:t xml:space="preserve"> $376 </w:t>
          </w:r>
        </w:sdtContent>
      </w:sdt>
      <w:r w:rsidRPr="00081E4C">
        <w:rPr>
          <w:rFonts w:cs="Calibri"/>
        </w:rPr>
        <w:t xml:space="preserve">million or </w:t>
      </w:r>
      <w:sdt>
        <w:sdtPr>
          <w:rPr>
            <w:rFonts w:cs="Calibri"/>
          </w:rPr>
          <w:alias w:val="Total Tuition %"/>
          <w:tag w:val="&lt;ReportPackage&gt;&lt;Variable id=&quot;59761621-89f3-4b0a-9ed3-4b4f3885d8ba&quot; usageType=&quot;Value&quot; /&gt;&lt;/ReportPackage&gt;"/>
          <w:id w:val="1686090401"/>
          <w:placeholder>
            <w:docPart w:val="984FAF0D1DC34A95A5FE759E821D4039"/>
          </w:placeholder>
          <w:text/>
        </w:sdtPr>
        <w:sdtEndPr/>
        <w:sdtContent>
          <w:r>
            <w:rPr>
              <w:rFonts w:cs="Calibri"/>
            </w:rPr>
            <w:t>35%</w:t>
          </w:r>
        </w:sdtContent>
      </w:sdt>
      <w:r>
        <w:rPr>
          <w:rFonts w:cs="Calibri"/>
        </w:rPr>
        <w:t xml:space="preserve"> </w:t>
      </w:r>
      <w:r w:rsidRPr="00081E4C">
        <w:rPr>
          <w:rFonts w:cs="Calibri"/>
        </w:rPr>
        <w:t>of the overall budget. Tuition revenue represents the largest portion of the university’s operating budget.</w:t>
      </w:r>
    </w:p>
    <w:p w14:paraId="6F0200AE" w14:textId="77777777" w:rsidR="003856EE" w:rsidRPr="00081E4C" w:rsidRDefault="00D518E8" w:rsidP="003B5D4A">
      <w:pPr>
        <w:pStyle w:val="ListParagraph"/>
        <w:numPr>
          <w:ilvl w:val="0"/>
          <w:numId w:val="9"/>
        </w:numPr>
        <w:spacing w:after="120" w:line="240" w:lineRule="auto"/>
        <w:rPr>
          <w:rFonts w:cs="Calibri"/>
          <w:b/>
          <w:bCs/>
        </w:rPr>
      </w:pPr>
      <w:r w:rsidRPr="00081E4C">
        <w:rPr>
          <w:rFonts w:cs="Calibri"/>
          <w:b/>
          <w:bCs/>
        </w:rPr>
        <w:t xml:space="preserve">Direct state tax support </w:t>
      </w:r>
    </w:p>
    <w:p w14:paraId="3AE0F9B7" w14:textId="77777777" w:rsidR="003856EE" w:rsidRPr="00165EA0" w:rsidRDefault="00D518E8" w:rsidP="003856EE">
      <w:pPr>
        <w:spacing w:after="0" w:line="240" w:lineRule="auto"/>
        <w:ind w:left="720"/>
        <w:rPr>
          <w:rFonts w:cs="Calibri"/>
        </w:rPr>
      </w:pPr>
      <w:r w:rsidRPr="00081E4C">
        <w:rPr>
          <w:rFonts w:cs="Calibri"/>
        </w:rPr>
        <w:t>Projected at more than</w:t>
      </w:r>
      <w:sdt>
        <w:sdtPr>
          <w:rPr>
            <w:rFonts w:cs="Calibri"/>
          </w:rPr>
          <w:alias w:val="Direct State Tax Support"/>
          <w:tag w:val="&lt;ReportPackage&gt;&lt;Variable id=&quot;975d5348-f2d4-407a-b6e4-f572c6962675&quot; usageType=&quot;Value&quot; /&gt;&lt;/ReportPackage&gt;"/>
          <w:id w:val="775748578"/>
          <w:placeholder>
            <w:docPart w:val="984FAF0D1DC34A95A5FE759E821D4039"/>
          </w:placeholder>
          <w:text/>
        </w:sdtPr>
        <w:sdtEndPr/>
        <w:sdtContent>
          <w:r>
            <w:rPr>
              <w:rFonts w:cs="Calibri"/>
            </w:rPr>
            <w:t xml:space="preserve"> $219 </w:t>
          </w:r>
        </w:sdtContent>
      </w:sdt>
      <w:r w:rsidRPr="00081E4C">
        <w:rPr>
          <w:rFonts w:cs="Calibri"/>
        </w:rPr>
        <w:t xml:space="preserve">million or </w:t>
      </w:r>
      <w:sdt>
        <w:sdtPr>
          <w:rPr>
            <w:rFonts w:cs="Calibri"/>
          </w:rPr>
          <w:alias w:val="Total State Tax Support %"/>
          <w:tag w:val="&lt;ReportPackage&gt;&lt;Variable id=&quot;518bf09a-e6ff-4572-88b9-da24f0f712ae&quot; usageType=&quot;Value&quot; /&gt;&lt;/ReportPackage&gt;"/>
          <w:id w:val="-2098394055"/>
          <w:placeholder>
            <w:docPart w:val="984FAF0D1DC34A95A5FE759E821D4039"/>
          </w:placeholder>
          <w:text/>
        </w:sdtPr>
        <w:sdtEndPr/>
        <w:sdtContent>
          <w:r>
            <w:rPr>
              <w:rFonts w:cs="Calibri"/>
            </w:rPr>
            <w:t>20%</w:t>
          </w:r>
        </w:sdtContent>
      </w:sdt>
      <w:r w:rsidRPr="00081E4C">
        <w:rPr>
          <w:rFonts w:cs="Calibri"/>
        </w:rPr>
        <w:t xml:space="preserve"> of the overall budget. Direct state tax support represents the second largest portion of the university’s operating budget and includes a </w:t>
      </w:r>
      <w:r w:rsidRPr="009A5779">
        <w:rPr>
          <w:rFonts w:cs="Calibri"/>
        </w:rPr>
        <w:t>$11.</w:t>
      </w:r>
      <w:r>
        <w:rPr>
          <w:rFonts w:cs="Calibri"/>
        </w:rPr>
        <w:t>2</w:t>
      </w:r>
      <w:r w:rsidRPr="00081E4C">
        <w:rPr>
          <w:rFonts w:cs="Calibri"/>
        </w:rPr>
        <w:t xml:space="preserve"> million increase over the prior year.</w:t>
      </w:r>
      <w:r w:rsidRPr="00165EA0">
        <w:rPr>
          <w:rFonts w:cs="Calibri"/>
        </w:rPr>
        <w:t xml:space="preserve"> </w:t>
      </w:r>
    </w:p>
    <w:p w14:paraId="63D8A789" w14:textId="77777777" w:rsidR="003856EE" w:rsidRPr="001D2920" w:rsidRDefault="00D518E8" w:rsidP="003B5D4A">
      <w:pPr>
        <w:pStyle w:val="ListParagraph"/>
        <w:numPr>
          <w:ilvl w:val="0"/>
          <w:numId w:val="9"/>
        </w:numPr>
        <w:spacing w:after="120" w:line="240" w:lineRule="auto"/>
        <w:rPr>
          <w:rFonts w:cs="Calibri"/>
          <w:b/>
          <w:bCs/>
        </w:rPr>
      </w:pPr>
      <w:r w:rsidRPr="001D2920">
        <w:rPr>
          <w:rFonts w:cs="Calibri"/>
          <w:b/>
          <w:bCs/>
        </w:rPr>
        <w:t xml:space="preserve">Fee revenue </w:t>
      </w:r>
    </w:p>
    <w:p w14:paraId="09A02C9B" w14:textId="77777777" w:rsidR="003856EE" w:rsidRPr="00165EA0" w:rsidRDefault="00D518E8" w:rsidP="003856EE">
      <w:pPr>
        <w:spacing w:after="0" w:line="240" w:lineRule="auto"/>
        <w:ind w:left="720"/>
        <w:rPr>
          <w:rFonts w:cs="Calibri"/>
        </w:rPr>
      </w:pPr>
      <w:r w:rsidRPr="00165EA0">
        <w:rPr>
          <w:rFonts w:cs="Calibri"/>
        </w:rPr>
        <w:t>Projected at</w:t>
      </w:r>
      <w:sdt>
        <w:sdtPr>
          <w:rPr>
            <w:rFonts w:cs="Calibri"/>
          </w:rPr>
          <w:alias w:val="Total Fees"/>
          <w:tag w:val="&lt;ReportPackage&gt;&lt;Variable id=&quot;f351add2-f211-4043-a5e2-45259640d3d6&quot; usageType=&quot;Value&quot; /&gt;&lt;/ReportPackage&gt;"/>
          <w:id w:val="1116488742"/>
          <w:placeholder>
            <w:docPart w:val="984FAF0D1DC34A95A5FE759E821D4039"/>
          </w:placeholder>
          <w:text/>
        </w:sdtPr>
        <w:sdtEndPr/>
        <w:sdtContent>
          <w:r>
            <w:rPr>
              <w:rFonts w:cs="Calibri"/>
            </w:rPr>
            <w:t xml:space="preserve"> $118 </w:t>
          </w:r>
        </w:sdtContent>
      </w:sdt>
      <w:r w:rsidRPr="00D950F8">
        <w:rPr>
          <w:rFonts w:cs="Calibri"/>
        </w:rPr>
        <w:t>million or</w:t>
      </w:r>
      <w:r w:rsidR="00317643">
        <w:rPr>
          <w:rFonts w:cs="Calibri"/>
        </w:rPr>
        <w:t xml:space="preserve"> </w:t>
      </w:r>
      <w:sdt>
        <w:sdtPr>
          <w:rPr>
            <w:rFonts w:cs="Calibri"/>
          </w:rPr>
          <w:alias w:val="Total Fees %"/>
          <w:tag w:val="&lt;ReportPackage&gt;&lt;Variable id=&quot;005acdc6-92eb-42fe-8ea1-8b9d3def30e7&quot; usageType=&quot;Value&quot;/&gt;&lt;/ReportPackage&gt;"/>
          <w:id w:val="349533901"/>
          <w:placeholder>
            <w:docPart w:val="DefaultPlaceholder_-1854013440"/>
          </w:placeholder>
          <w:text/>
        </w:sdtPr>
        <w:sdtEndPr/>
        <w:sdtContent>
          <w:r w:rsidR="00317643">
            <w:rPr>
              <w:rFonts w:cs="Calibri"/>
            </w:rPr>
            <w:t>11%</w:t>
          </w:r>
        </w:sdtContent>
      </w:sdt>
      <w:r w:rsidR="00317643">
        <w:rPr>
          <w:rFonts w:cs="Calibri"/>
        </w:rPr>
        <w:t xml:space="preserve"> </w:t>
      </w:r>
      <w:r w:rsidRPr="00165EA0">
        <w:rPr>
          <w:rFonts w:cs="Calibri"/>
        </w:rPr>
        <w:t xml:space="preserve">of the overall budget. Fee revenue includes the Comprehensive Fee, Academic Excellence Fee, Course Fees, and other </w:t>
      </w:r>
      <w:r>
        <w:rPr>
          <w:rFonts w:cs="Calibri"/>
        </w:rPr>
        <w:t xml:space="preserve">student </w:t>
      </w:r>
      <w:r w:rsidRPr="00165EA0">
        <w:rPr>
          <w:rFonts w:cs="Calibri"/>
        </w:rPr>
        <w:t>fees.</w:t>
      </w:r>
    </w:p>
    <w:p w14:paraId="60DBF71F" w14:textId="77777777" w:rsidR="003856EE" w:rsidRPr="001D2920" w:rsidRDefault="00D518E8" w:rsidP="003B5D4A">
      <w:pPr>
        <w:pStyle w:val="ListParagraph"/>
        <w:numPr>
          <w:ilvl w:val="0"/>
          <w:numId w:val="9"/>
        </w:numPr>
        <w:spacing w:after="120" w:line="240" w:lineRule="auto"/>
        <w:rPr>
          <w:rFonts w:cs="Calibri"/>
          <w:b/>
          <w:bCs/>
        </w:rPr>
      </w:pPr>
      <w:r w:rsidRPr="001D2920">
        <w:rPr>
          <w:rFonts w:cs="Calibri"/>
          <w:b/>
          <w:bCs/>
        </w:rPr>
        <w:t xml:space="preserve">Auxiliary revenues </w:t>
      </w:r>
    </w:p>
    <w:p w14:paraId="71A43EAB" w14:textId="77777777" w:rsidR="003856EE" w:rsidRDefault="00D518E8" w:rsidP="003856EE">
      <w:pPr>
        <w:spacing w:after="0" w:line="240" w:lineRule="auto"/>
        <w:ind w:left="720"/>
        <w:rPr>
          <w:rFonts w:cs="Calibri"/>
        </w:rPr>
      </w:pPr>
      <w:r w:rsidRPr="00165EA0">
        <w:rPr>
          <w:rFonts w:cs="Calibri"/>
        </w:rPr>
        <w:t xml:space="preserve">Projected </w:t>
      </w:r>
      <w:r w:rsidRPr="00D950F8">
        <w:rPr>
          <w:rFonts w:cs="Calibri"/>
        </w:rPr>
        <w:t>at</w:t>
      </w:r>
      <w:sdt>
        <w:sdtPr>
          <w:rPr>
            <w:rFonts w:cs="Calibri"/>
          </w:rPr>
          <w:alias w:val="Total Auxiliary"/>
          <w:tag w:val="&lt;ReportPackage&gt;&lt;Variable id=&quot;cdd505df-d78b-416b-b1cf-770b5ae2431e&quot; usageType=&quot;Value&quot; /&gt;&lt;/ReportPackage&gt;"/>
          <w:id w:val="-1356416539"/>
          <w:placeholder>
            <w:docPart w:val="984FAF0D1DC34A95A5FE759E821D4039"/>
          </w:placeholder>
          <w:text/>
        </w:sdtPr>
        <w:sdtEndPr/>
        <w:sdtContent>
          <w:r>
            <w:rPr>
              <w:rFonts w:cs="Calibri"/>
            </w:rPr>
            <w:t xml:space="preserve"> $101 </w:t>
          </w:r>
        </w:sdtContent>
      </w:sdt>
      <w:r>
        <w:rPr>
          <w:rFonts w:cs="Calibri"/>
        </w:rPr>
        <w:t xml:space="preserve">million </w:t>
      </w:r>
      <w:r w:rsidRPr="00D950F8">
        <w:rPr>
          <w:rFonts w:cs="Calibri"/>
        </w:rPr>
        <w:t>or</w:t>
      </w:r>
      <w:r>
        <w:rPr>
          <w:rFonts w:cs="Calibri"/>
        </w:rPr>
        <w:t xml:space="preserve"> </w:t>
      </w:r>
      <w:sdt>
        <w:sdtPr>
          <w:rPr>
            <w:rFonts w:cs="Calibri"/>
          </w:rPr>
          <w:alias w:val="Total Auxiliary %"/>
          <w:tag w:val="&lt;ReportPackage&gt;&lt;Variable id=&quot;b9048f8c-7244-495a-8aae-0aa54ef2f9c2&quot; usageType=&quot;Value&quot; /&gt;&lt;/ReportPackage&gt;"/>
          <w:id w:val="-563881706"/>
          <w:placeholder>
            <w:docPart w:val="984FAF0D1DC34A95A5FE759E821D4039"/>
          </w:placeholder>
          <w:text/>
        </w:sdtPr>
        <w:sdtEndPr/>
        <w:sdtContent>
          <w:r>
            <w:rPr>
              <w:rFonts w:cs="Calibri"/>
            </w:rPr>
            <w:t>9%</w:t>
          </w:r>
        </w:sdtContent>
      </w:sdt>
      <w:r>
        <w:rPr>
          <w:rFonts w:cs="Calibri"/>
        </w:rPr>
        <w:t xml:space="preserve"> </w:t>
      </w:r>
      <w:r w:rsidRPr="00D950F8">
        <w:rPr>
          <w:rFonts w:cs="Calibri"/>
        </w:rPr>
        <w:t>of the</w:t>
      </w:r>
      <w:r w:rsidRPr="00165EA0">
        <w:rPr>
          <w:rFonts w:cs="Calibri"/>
        </w:rPr>
        <w:t xml:space="preserve"> overall budget. Auxiliary revenues come primarily from student housing. It also includes athletics, parking, and other rent revenues. This money is collected and spent within collecting units and cannot be used for other purposes.</w:t>
      </w:r>
    </w:p>
    <w:p w14:paraId="4505213A" w14:textId="77777777" w:rsidR="003856EE" w:rsidRDefault="00D518E8" w:rsidP="003856EE">
      <w:pPr>
        <w:spacing w:after="0" w:line="240" w:lineRule="auto"/>
        <w:ind w:left="0"/>
        <w:rPr>
          <w:rFonts w:cs="Calibri"/>
        </w:rPr>
      </w:pPr>
      <w:r>
        <w:rPr>
          <w:noProof/>
        </w:rPr>
        <w:drawing>
          <wp:inline distT="0" distB="0" distL="0" distR="0" wp14:anchorId="7E550B21" wp14:editId="1F98EAD3">
            <wp:extent cx="6715125" cy="2162175"/>
            <wp:effectExtent l="0" t="0" r="0" b="0"/>
            <wp:docPr id="1665683829" name="Chart 1" descr="F2A4E6A5-86EA-4413-90D6-619423C4A8DF|3|Oracle.SmartView.EPRCS|{90117843-33f4-46c1-aca4-4ae2e31326de}">
              <a:extLst xmlns:a="http://schemas.openxmlformats.org/drawingml/2006/main">
                <a:ext uri="{FF2B5EF4-FFF2-40B4-BE49-F238E27FC236}">
                  <a16:creationId xmlns:a16="http://schemas.microsoft.com/office/drawing/2014/main" id="{44438363-AE3C-FA50-8988-E1612EBD0B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D898B1" w14:textId="77777777" w:rsidR="003856EE" w:rsidRDefault="00D518E8" w:rsidP="003856EE">
      <w:pPr>
        <w:spacing w:before="0" w:after="160"/>
        <w:ind w:left="0"/>
        <w:rPr>
          <w:rFonts w:cs="Calibri"/>
        </w:rPr>
      </w:pPr>
      <w:r>
        <w:rPr>
          <w:rFonts w:cs="Calibri"/>
        </w:rPr>
        <w:br w:type="page"/>
      </w:r>
    </w:p>
    <w:p w14:paraId="4066AA59" w14:textId="77777777" w:rsidR="003856EE" w:rsidRPr="00F2057A" w:rsidRDefault="00D518E8" w:rsidP="003B5D4A">
      <w:pPr>
        <w:pStyle w:val="ListParagraph"/>
        <w:keepNext/>
        <w:keepLines/>
        <w:numPr>
          <w:ilvl w:val="0"/>
          <w:numId w:val="34"/>
        </w:numPr>
        <w:outlineLvl w:val="1"/>
        <w:rPr>
          <w:rFonts w:cs="Times New Roman"/>
          <w:noProof/>
          <w:color w:val="990000"/>
          <w:sz w:val="32"/>
          <w:szCs w:val="36"/>
        </w:rPr>
      </w:pPr>
      <w:bookmarkStart w:id="6" w:name="_Toc236305171"/>
      <w:r w:rsidRPr="00212F39">
        <w:rPr>
          <w:rFonts w:cs="Times New Roman"/>
          <w:color w:val="990000"/>
          <w:sz w:val="32"/>
          <w:szCs w:val="36"/>
        </w:rPr>
        <w:lastRenderedPageBreak/>
        <w:t>State Support for UB’s Operating Budget:</w:t>
      </w:r>
      <w:bookmarkEnd w:id="6"/>
      <w:r w:rsidRPr="00212F39">
        <w:rPr>
          <w:rFonts w:cs="Times New Roman"/>
          <w:color w:val="990000"/>
          <w:sz w:val="32"/>
          <w:szCs w:val="36"/>
        </w:rPr>
        <w:t xml:space="preserve"> </w:t>
      </w:r>
    </w:p>
    <w:p w14:paraId="3DA1EF79" w14:textId="77777777" w:rsidR="003856EE" w:rsidRPr="00F2057A" w:rsidRDefault="00D518E8" w:rsidP="003856EE">
      <w:pPr>
        <w:rPr>
          <w:rFonts w:cs="Calibri"/>
        </w:rPr>
      </w:pPr>
      <w:r w:rsidRPr="00F2057A">
        <w:rPr>
          <w:rFonts w:cs="Calibri"/>
        </w:rPr>
        <w:t xml:space="preserve">Highlights from New York State’s </w:t>
      </w:r>
      <w:sdt>
        <w:sdtPr>
          <w:rPr>
            <w:rFonts w:cs="Calibri"/>
          </w:rPr>
          <w:alias w:val="CurrentYear XXXX/XXXX"/>
          <w:tag w:val="&lt;ReportPackage&gt;&lt;Variable id=&quot;75ef574e-6368-4639-bee0-3a88537f0c27&quot; usageType=&quot;Value&quot; /&gt;&lt;/ReportPackage&gt;"/>
          <w:id w:val="-2040203101"/>
          <w:placeholder>
            <w:docPart w:val="EED5010623C94AE59E1ACFA98725516C"/>
          </w:placeholder>
          <w:text/>
        </w:sdtPr>
        <w:sdtEndPr/>
        <w:sdtContent>
          <w:r>
            <w:rPr>
              <w:rFonts w:cs="Calibri"/>
            </w:rPr>
            <w:t>2026/2027</w:t>
          </w:r>
        </w:sdtContent>
      </w:sdt>
      <w:r>
        <w:rPr>
          <w:rFonts w:cs="Calibri"/>
        </w:rPr>
        <w:t xml:space="preserve"> </w:t>
      </w:r>
      <w:r w:rsidRPr="00F2057A">
        <w:rPr>
          <w:rFonts w:cs="Calibri"/>
        </w:rPr>
        <w:t>budget:</w:t>
      </w:r>
    </w:p>
    <w:p w14:paraId="086CD851" w14:textId="77777777" w:rsidR="003856EE" w:rsidRPr="00187EAE" w:rsidRDefault="00D518E8" w:rsidP="003B5D4A">
      <w:pPr>
        <w:pStyle w:val="ListParagraph"/>
        <w:numPr>
          <w:ilvl w:val="0"/>
          <w:numId w:val="10"/>
        </w:numPr>
        <w:spacing w:after="120"/>
        <w:rPr>
          <w:b/>
          <w:bCs/>
        </w:rPr>
      </w:pPr>
      <w:r>
        <w:rPr>
          <w:b/>
          <w:bCs/>
        </w:rPr>
        <w:t>$54 million in ongoing support for SUNY campuses and statutory colleges</w:t>
      </w:r>
    </w:p>
    <w:p w14:paraId="52B3495B" w14:textId="77777777" w:rsidR="003856EE" w:rsidRDefault="00D518E8" w:rsidP="003856EE">
      <w:pPr>
        <w:ind w:left="720" w:firstLine="720"/>
      </w:pPr>
      <w:r w:rsidRPr="003F19F5">
        <w:rPr>
          <w:rFonts w:ascii="Times New Roman" w:hAnsi="Times New Roman" w:cs="Times New Roman"/>
        </w:rPr>
        <w:t>→</w:t>
      </w:r>
      <w:r w:rsidRPr="003F19F5">
        <w:t xml:space="preserve"> UB will receive </w:t>
      </w:r>
      <w:r w:rsidRPr="003F19F5">
        <w:rPr>
          <w:b/>
          <w:bCs/>
        </w:rPr>
        <w:t>$</w:t>
      </w:r>
      <w:r>
        <w:rPr>
          <w:b/>
          <w:bCs/>
        </w:rPr>
        <w:t>11.2</w:t>
      </w:r>
      <w:r w:rsidRPr="003F19F5">
        <w:rPr>
          <w:b/>
          <w:bCs/>
        </w:rPr>
        <w:t xml:space="preserve"> million annually</w:t>
      </w:r>
      <w:r w:rsidRPr="003F19F5">
        <w:t xml:space="preserve"> from this new allocation.</w:t>
      </w:r>
    </w:p>
    <w:p w14:paraId="43120F29" w14:textId="77777777" w:rsidR="003856EE" w:rsidRDefault="00D518E8" w:rsidP="003856EE">
      <w:r>
        <w:t>Continued Support from Previous Budgets:</w:t>
      </w:r>
    </w:p>
    <w:p w14:paraId="26DC6F56" w14:textId="77777777" w:rsidR="003856EE" w:rsidRPr="003F19F5" w:rsidRDefault="00D518E8" w:rsidP="003B5D4A">
      <w:pPr>
        <w:pStyle w:val="ListParagraph"/>
        <w:numPr>
          <w:ilvl w:val="0"/>
          <w:numId w:val="11"/>
        </w:numPr>
        <w:tabs>
          <w:tab w:val="left" w:pos="1170"/>
        </w:tabs>
        <w:spacing w:after="120"/>
        <w:ind w:left="1080"/>
        <w:rPr>
          <w:b/>
          <w:bCs/>
        </w:rPr>
      </w:pPr>
      <w:r w:rsidRPr="003F19F5">
        <w:rPr>
          <w:b/>
          <w:bCs/>
        </w:rPr>
        <w:t>$</w:t>
      </w:r>
      <w:r>
        <w:rPr>
          <w:b/>
          <w:bCs/>
        </w:rPr>
        <w:t>391</w:t>
      </w:r>
      <w:r w:rsidRPr="003F19F5">
        <w:rPr>
          <w:b/>
          <w:bCs/>
        </w:rPr>
        <w:t xml:space="preserve"> million in ongoing funding from the past </w:t>
      </w:r>
      <w:r>
        <w:rPr>
          <w:b/>
          <w:bCs/>
        </w:rPr>
        <w:t>three</w:t>
      </w:r>
      <w:r w:rsidRPr="003F19F5">
        <w:rPr>
          <w:b/>
          <w:bCs/>
        </w:rPr>
        <w:t xml:space="preserve"> years</w:t>
      </w:r>
    </w:p>
    <w:p w14:paraId="71A80F1B" w14:textId="77777777" w:rsidR="003856EE" w:rsidRPr="00212F39" w:rsidRDefault="00D518E8" w:rsidP="003856EE">
      <w:pPr>
        <w:tabs>
          <w:tab w:val="left" w:pos="630"/>
        </w:tabs>
        <w:spacing w:before="0" w:after="120"/>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F19F5">
        <w:rPr>
          <w:rFonts w:ascii="Times New Roman" w:hAnsi="Times New Roman" w:cs="Times New Roman"/>
        </w:rPr>
        <w:t>→</w:t>
      </w:r>
      <w:r>
        <w:rPr>
          <w:rFonts w:ascii="Times New Roman" w:hAnsi="Times New Roman" w:cs="Times New Roman"/>
        </w:rPr>
        <w:t xml:space="preserve"> </w:t>
      </w:r>
      <w:r w:rsidRPr="00A93087">
        <w:t xml:space="preserve">UB </w:t>
      </w:r>
      <w:r>
        <w:t xml:space="preserve">receives </w:t>
      </w:r>
      <w:r w:rsidRPr="003F19F5">
        <w:rPr>
          <w:b/>
          <w:bCs/>
        </w:rPr>
        <w:t>$</w:t>
      </w:r>
      <w:r>
        <w:rPr>
          <w:b/>
          <w:bCs/>
        </w:rPr>
        <w:t>59.3</w:t>
      </w:r>
      <w:r w:rsidRPr="003F19F5">
        <w:rPr>
          <w:b/>
          <w:bCs/>
        </w:rPr>
        <w:t xml:space="preserve"> million annually</w:t>
      </w:r>
      <w:r>
        <w:t xml:space="preserve"> from these funds</w:t>
      </w:r>
      <w:r w:rsidRPr="00475458">
        <w:t>.</w:t>
      </w:r>
    </w:p>
    <w:p w14:paraId="575868FB" w14:textId="77777777" w:rsidR="003856EE" w:rsidRPr="00595F94" w:rsidRDefault="00D518E8" w:rsidP="003B5D4A">
      <w:pPr>
        <w:pStyle w:val="ListParagraph"/>
        <w:numPr>
          <w:ilvl w:val="0"/>
          <w:numId w:val="11"/>
        </w:numPr>
        <w:spacing w:after="120"/>
        <w:ind w:left="1080"/>
        <w:rPr>
          <w:b/>
          <w:bCs/>
        </w:rPr>
      </w:pPr>
      <w:r w:rsidRPr="00595F94">
        <w:rPr>
          <w:b/>
          <w:bCs/>
        </w:rPr>
        <w:t xml:space="preserve">$53 million </w:t>
      </w:r>
      <w:r>
        <w:rPr>
          <w:b/>
          <w:bCs/>
        </w:rPr>
        <w:t>for hiring</w:t>
      </w:r>
      <w:r w:rsidRPr="00595F94">
        <w:rPr>
          <w:b/>
          <w:bCs/>
        </w:rPr>
        <w:t xml:space="preserve"> new full-time faculty across SUNY</w:t>
      </w:r>
    </w:p>
    <w:p w14:paraId="75C04DDB" w14:textId="77777777" w:rsidR="003856EE" w:rsidRPr="00595F94" w:rsidRDefault="00D518E8" w:rsidP="003856EE">
      <w:pPr>
        <w:spacing w:before="0" w:after="0" w:line="240" w:lineRule="auto"/>
        <w:ind w:left="1440"/>
        <w:rPr>
          <w:rFonts w:cs="Times New Roman"/>
        </w:rPr>
      </w:pPr>
      <w:r w:rsidRPr="00595F94">
        <w:rPr>
          <w:rFonts w:ascii="Times New Roman" w:hAnsi="Times New Roman" w:cs="Times New Roman"/>
        </w:rPr>
        <w:t>→</w:t>
      </w:r>
      <w:r w:rsidRPr="00595F94">
        <w:rPr>
          <w:rFonts w:cs="Times New Roman"/>
        </w:rPr>
        <w:t xml:space="preserve"> UB</w:t>
      </w:r>
      <w:r w:rsidRPr="00595F94">
        <w:rPr>
          <w:rFonts w:cs="Georgia"/>
        </w:rPr>
        <w:t>’</w:t>
      </w:r>
      <w:r w:rsidRPr="00595F94">
        <w:rPr>
          <w:rFonts w:cs="Times New Roman"/>
        </w:rPr>
        <w:t xml:space="preserve">s share is </w:t>
      </w:r>
      <w:r w:rsidRPr="00595F94">
        <w:rPr>
          <w:rFonts w:cs="Times New Roman"/>
          <w:b/>
          <w:bCs/>
        </w:rPr>
        <w:t>$12.1 million</w:t>
      </w:r>
      <w:r w:rsidRPr="00595F94">
        <w:rPr>
          <w:rFonts w:cs="Times New Roman"/>
        </w:rPr>
        <w:t>, with full funding achieved in 2023–2024 after meeting hiring goals.</w:t>
      </w:r>
    </w:p>
    <w:p w14:paraId="6D77C13E" w14:textId="77777777" w:rsidR="003856EE" w:rsidRPr="003F19F5" w:rsidRDefault="00D518E8" w:rsidP="00F035E1">
      <w:pPr>
        <w:ind w:left="0"/>
      </w:pPr>
      <w:r w:rsidRPr="003F19F5">
        <w:t>Why This Matters</w:t>
      </w:r>
    </w:p>
    <w:p w14:paraId="263D5CF0" w14:textId="77777777" w:rsidR="003856EE" w:rsidRDefault="00D518E8" w:rsidP="00F035E1">
      <w:pPr>
        <w:ind w:left="0"/>
      </w:pPr>
      <w:r w:rsidRPr="008B2345">
        <w:t xml:space="preserve">These </w:t>
      </w:r>
      <w:r>
        <w:t xml:space="preserve">historic </w:t>
      </w:r>
      <w:r w:rsidRPr="008B2345">
        <w:t>investments by NYS into higher education are welcome</w:t>
      </w:r>
      <w:r>
        <w:t xml:space="preserve"> as UB remains committed to keeping education affordable and accessible.  As the university grows with enrollment now exceeding 30,000 students, so do the costs of supporting students with high-quality resources, faculty, and facilities.</w:t>
      </w:r>
    </w:p>
    <w:p w14:paraId="1B232EF1" w14:textId="77777777" w:rsidR="003856EE" w:rsidRPr="00806CB3" w:rsidRDefault="00D518E8" w:rsidP="00F035E1">
      <w:pPr>
        <w:ind w:left="0"/>
        <w:rPr>
          <w:rFonts w:eastAsiaTheme="majorEastAsia"/>
        </w:rPr>
      </w:pPr>
      <w:r>
        <w:t>UB continues to take strategic steps to manage rising expenses, but the need for ongoing state support and rationale tuition and fee structures remains critical. These efforts ensure UB can maintain excellence and stay competitive with peer institutions nationwide.</w:t>
      </w:r>
    </w:p>
    <w:p w14:paraId="2FCC9F88" w14:textId="77777777" w:rsidR="003856EE" w:rsidRPr="007D6C62" w:rsidRDefault="00D518E8" w:rsidP="003B5D4A">
      <w:pPr>
        <w:pStyle w:val="ListParagraph"/>
        <w:keepNext/>
        <w:keepLines/>
        <w:numPr>
          <w:ilvl w:val="0"/>
          <w:numId w:val="12"/>
        </w:numPr>
        <w:outlineLvl w:val="1"/>
        <w:rPr>
          <w:rFonts w:eastAsiaTheme="majorEastAsia" w:cs="Times New Roman"/>
          <w:noProof/>
          <w:color w:val="990000"/>
          <w:sz w:val="32"/>
          <w:szCs w:val="36"/>
        </w:rPr>
      </w:pPr>
      <w:bookmarkStart w:id="7" w:name="_Toc236305172"/>
      <w:r w:rsidRPr="007D6C62">
        <w:rPr>
          <w:rFonts w:eastAsiaTheme="majorEastAsia" w:cs="Times New Roman"/>
          <w:color w:val="990000"/>
          <w:sz w:val="32"/>
          <w:szCs w:val="36"/>
        </w:rPr>
        <w:t>Additional State Impact Information</w:t>
      </w:r>
      <w:bookmarkEnd w:id="7"/>
      <w:r w:rsidRPr="007D6C62">
        <w:rPr>
          <w:rFonts w:eastAsiaTheme="majorEastAsia" w:cs="Times New Roman"/>
          <w:color w:val="990000"/>
          <w:sz w:val="32"/>
          <w:szCs w:val="36"/>
        </w:rPr>
        <w:t xml:space="preserve">  </w:t>
      </w:r>
    </w:p>
    <w:p w14:paraId="5810DEED" w14:textId="77777777" w:rsidR="003856EE" w:rsidRDefault="00D518E8" w:rsidP="003856EE">
      <w:pPr>
        <w:ind w:left="0"/>
        <w:rPr>
          <w:rFonts w:eastAsiaTheme="minorEastAsia" w:cs="Calibri"/>
        </w:rPr>
      </w:pPr>
      <w:r w:rsidRPr="007D6C62">
        <w:rPr>
          <w:rFonts w:eastAsiaTheme="majorEastAsia" w:cs="Calibri"/>
        </w:rPr>
        <w:t>Over time, UB has become more reliant on tuition revenue as the primary source of funding. As new state funds are committed to UB</w:t>
      </w:r>
      <w:r>
        <w:rPr>
          <w:rFonts w:eastAsiaTheme="majorEastAsia" w:cs="Calibri"/>
        </w:rPr>
        <w:t xml:space="preserve"> and enrollments remain relatively flat with increases primarily to non-resident tuition rates</w:t>
      </w:r>
      <w:r w:rsidRPr="007D6C62">
        <w:rPr>
          <w:rFonts w:eastAsiaTheme="majorEastAsia" w:cs="Calibri"/>
        </w:rPr>
        <w:t xml:space="preserve">, we </w:t>
      </w:r>
      <w:r>
        <w:rPr>
          <w:rFonts w:eastAsiaTheme="majorEastAsia" w:cs="Calibri"/>
        </w:rPr>
        <w:t xml:space="preserve">anticipate </w:t>
      </w:r>
      <w:r w:rsidRPr="007D6C62">
        <w:rPr>
          <w:rFonts w:eastAsiaTheme="majorEastAsia" w:cs="Calibri"/>
        </w:rPr>
        <w:t>that the ratio of state funds to tuition revenue will increase</w:t>
      </w:r>
      <w:r>
        <w:rPr>
          <w:rFonts w:eastAsiaTheme="majorEastAsia" w:cs="Calibri"/>
        </w:rPr>
        <w:t>.</w:t>
      </w:r>
      <w:r w:rsidRPr="00A86234">
        <w:rPr>
          <w:rFonts w:eastAsiaTheme="minorEastAsia" w:cs="Calibri"/>
        </w:rPr>
        <w:t xml:space="preserve"> </w:t>
      </w:r>
      <w:r w:rsidRPr="007D6C62">
        <w:rPr>
          <w:rFonts w:eastAsiaTheme="minorEastAsia" w:cs="Calibri"/>
        </w:rPr>
        <w:t xml:space="preserve">The chart below (in millions) </w:t>
      </w:r>
      <w:r>
        <w:rPr>
          <w:rFonts w:eastAsiaTheme="minorEastAsia" w:cs="Calibri"/>
        </w:rPr>
        <w:t>displays the ratio of state tax support to tuition revenue.</w:t>
      </w:r>
    </w:p>
    <w:p w14:paraId="1A44FE9F" w14:textId="77777777" w:rsidR="003856EE" w:rsidRDefault="00D518E8" w:rsidP="003856EE">
      <w:pPr>
        <w:ind w:left="0"/>
        <w:rPr>
          <w:rFonts w:eastAsiaTheme="majorEastAsia" w:cs="Calibri"/>
        </w:rPr>
      </w:pPr>
      <w:r w:rsidRPr="007D6C62">
        <w:rPr>
          <w:rFonts w:eastAsiaTheme="majorEastAsia" w:cs="Calibri"/>
        </w:rPr>
        <w:t>Note: the decrease in 2020/21 revenues is pandemic related</w:t>
      </w:r>
      <w:r w:rsidR="00CE3DBD">
        <w:rPr>
          <w:rFonts w:eastAsiaTheme="majorEastAsia" w:cs="Calibri"/>
        </w:rPr>
        <w:t>;</w:t>
      </w:r>
      <w:r w:rsidRPr="007D6C62">
        <w:rPr>
          <w:rFonts w:eastAsiaTheme="majorEastAsia" w:cs="Calibri"/>
        </w:rPr>
        <w:t xml:space="preserve"> specifically, the state reduced funding by 5%</w:t>
      </w:r>
      <w:r w:rsidR="00CE3DBD">
        <w:rPr>
          <w:rFonts w:eastAsiaTheme="majorEastAsia" w:cs="Calibri"/>
        </w:rPr>
        <w:t>,</w:t>
      </w:r>
      <w:r w:rsidRPr="007D6C62">
        <w:rPr>
          <w:rFonts w:eastAsiaTheme="majorEastAsia" w:cs="Calibri"/>
        </w:rPr>
        <w:t xml:space="preserve"> and tuition revenue decreased significantly due to the decline in international enrollment.</w:t>
      </w:r>
      <w:r>
        <w:rPr>
          <w:rFonts w:eastAsiaTheme="majorEastAsia" w:cs="Calibri"/>
        </w:rPr>
        <w:t xml:space="preserve"> </w:t>
      </w:r>
    </w:p>
    <w:p w14:paraId="63E8C90A" w14:textId="77777777" w:rsidR="003856EE" w:rsidRDefault="00D518E8" w:rsidP="003856EE">
      <w:pPr>
        <w:ind w:left="0"/>
        <w:rPr>
          <w:rFonts w:eastAsiaTheme="minorEastAsia" w:cs="Calibri"/>
        </w:rPr>
      </w:pPr>
      <w:r>
        <w:rPr>
          <w:noProof/>
        </w:rPr>
        <w:lastRenderedPageBreak/>
        <w:drawing>
          <wp:inline distT="0" distB="0" distL="0" distR="0" wp14:anchorId="4875619D" wp14:editId="5A2EB061">
            <wp:extent cx="5915025" cy="3067050"/>
            <wp:effectExtent l="0" t="0" r="0" b="0"/>
            <wp:docPr id="547974069" name="Chart 1" descr="F2A4E6A5-86EA-4413-90D6-619423C4A8DF|3|Oracle.SmartView.EPRCS|{ce4d6893-0591-4ae0-a20e-a67f6906215d}">
              <a:extLst xmlns:a="http://schemas.openxmlformats.org/drawingml/2006/main">
                <a:ext uri="{FF2B5EF4-FFF2-40B4-BE49-F238E27FC236}">
                  <a16:creationId xmlns:a16="http://schemas.microsoft.com/office/drawing/2014/main" id="{9E5B2A7B-1A24-E0EA-BF72-C4BE50A4D2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757612" w14:textId="77777777" w:rsidR="003856EE" w:rsidRDefault="00D518E8" w:rsidP="003856EE">
      <w:pPr>
        <w:ind w:left="0"/>
        <w:rPr>
          <w:rFonts w:eastAsiaTheme="minorEastAsia" w:cs="Calibri"/>
        </w:rPr>
      </w:pPr>
      <w:r w:rsidRPr="007D6C62">
        <w:rPr>
          <w:rFonts w:eastAsiaTheme="minorEastAsia" w:cs="Calibri"/>
        </w:rPr>
        <w:t>In addition to providing direct state tax support, New York State also covers debt service and fringe benefit cost for UB. The chart below (in millions) shows annual state support trends to UB.</w:t>
      </w:r>
    </w:p>
    <w:p w14:paraId="593F90E4" w14:textId="77777777" w:rsidR="003856EE" w:rsidRPr="008C43BF" w:rsidRDefault="00D518E8" w:rsidP="003856EE">
      <w:pPr>
        <w:ind w:left="0"/>
        <w:rPr>
          <w:rFonts w:eastAsiaTheme="minorEastAsia" w:cs="Calibri"/>
          <w:noProof/>
        </w:rPr>
      </w:pPr>
      <w:r>
        <w:rPr>
          <w:noProof/>
        </w:rPr>
        <w:drawing>
          <wp:inline distT="0" distB="0" distL="0" distR="0" wp14:anchorId="4C316C1A" wp14:editId="1F0D0CBF">
            <wp:extent cx="5915025" cy="3295650"/>
            <wp:effectExtent l="0" t="0" r="0" b="0"/>
            <wp:docPr id="1443702569" name="Chart 1" descr="F2A4E6A5-86EA-4413-90D6-619423C4A8DF|3|Oracle.SmartView.EPRCS|{27688d11-5b58-417a-9b9d-f591c43b81fb}">
              <a:extLst xmlns:a="http://schemas.openxmlformats.org/drawingml/2006/main">
                <a:ext uri="{FF2B5EF4-FFF2-40B4-BE49-F238E27FC236}">
                  <a16:creationId xmlns:a16="http://schemas.microsoft.com/office/drawing/2014/main" id="{FF2E65DB-2327-6F0B-767C-A70E7C244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A65A82" w14:textId="77777777" w:rsidR="003856EE" w:rsidRPr="004B5EE9" w:rsidRDefault="00D518E8" w:rsidP="003856EE">
      <w:pPr>
        <w:keepNext/>
        <w:keepLines/>
        <w:pBdr>
          <w:bottom w:val="single" w:sz="4" w:space="2" w:color="E56A54" w:themeColor="accent2"/>
        </w:pBdr>
        <w:spacing w:before="360" w:after="120"/>
        <w:ind w:left="0"/>
        <w:outlineLvl w:val="0"/>
        <w:rPr>
          <w:rFonts w:eastAsiaTheme="majorEastAsia" w:cstheme="majorBidi"/>
          <w:color w:val="002F56"/>
          <w:sz w:val="36"/>
          <w:szCs w:val="40"/>
        </w:rPr>
      </w:pPr>
      <w:bookmarkStart w:id="8" w:name="_Toc236305173"/>
      <w:r w:rsidRPr="004B5EE9">
        <w:rPr>
          <w:rFonts w:eastAsiaTheme="majorEastAsia" w:cstheme="majorBidi"/>
          <w:color w:val="002F56"/>
          <w:sz w:val="36"/>
          <w:szCs w:val="40"/>
        </w:rPr>
        <w:lastRenderedPageBreak/>
        <w:t>Issues and Actions</w:t>
      </w:r>
      <w:bookmarkEnd w:id="8"/>
      <w:r w:rsidRPr="004B5EE9">
        <w:rPr>
          <w:rFonts w:eastAsiaTheme="majorEastAsia" w:cstheme="majorBidi"/>
          <w:color w:val="002F56"/>
          <w:sz w:val="36"/>
          <w:szCs w:val="40"/>
        </w:rPr>
        <w:t xml:space="preserve"> </w:t>
      </w:r>
    </w:p>
    <w:p w14:paraId="66EB2BB4" w14:textId="77777777" w:rsidR="003856EE" w:rsidRPr="004B5EE9" w:rsidRDefault="00D518E8" w:rsidP="003B5D4A">
      <w:pPr>
        <w:keepNext/>
        <w:keepLines/>
        <w:numPr>
          <w:ilvl w:val="0"/>
          <w:numId w:val="13"/>
        </w:numPr>
        <w:outlineLvl w:val="1"/>
        <w:rPr>
          <w:rFonts w:eastAsiaTheme="majorEastAsia" w:cstheme="majorBidi"/>
          <w:color w:val="990000"/>
          <w:sz w:val="32"/>
          <w:szCs w:val="36"/>
        </w:rPr>
      </w:pPr>
      <w:bookmarkStart w:id="9" w:name="_Toc236305174"/>
      <w:r w:rsidRPr="004B5EE9">
        <w:rPr>
          <w:rFonts w:eastAsiaTheme="majorEastAsia" w:cstheme="majorBidi"/>
          <w:color w:val="990000"/>
          <w:sz w:val="32"/>
          <w:szCs w:val="36"/>
        </w:rPr>
        <w:t>Issues and Challenges Affecting UB Budgets</w:t>
      </w:r>
      <w:bookmarkEnd w:id="9"/>
    </w:p>
    <w:p w14:paraId="66F8899B" w14:textId="77777777" w:rsidR="003856EE" w:rsidRPr="00611642" w:rsidRDefault="00D518E8" w:rsidP="003856EE">
      <w:r w:rsidRPr="004B5EE9">
        <w:t xml:space="preserve">While UB remains strong financially, the university continues to face several challenges. Among them </w:t>
      </w:r>
      <w:r>
        <w:t xml:space="preserve">uncertainty with the current federal research landscape and the impact of how other federal budget cuts </w:t>
      </w:r>
      <w:r w:rsidR="00CE3DBD">
        <w:t xml:space="preserve">may </w:t>
      </w:r>
      <w:r>
        <w:t>impact New York State</w:t>
      </w:r>
      <w:r w:rsidR="00CE3DBD">
        <w:t>’</w:t>
      </w:r>
      <w:r>
        <w:t>s budget and</w:t>
      </w:r>
      <w:r w:rsidR="00CE3DBD">
        <w:t xml:space="preserve"> the</w:t>
      </w:r>
      <w:r>
        <w:t xml:space="preserve"> potential downstream impact to UB. Additional challenges include decreased international enrollments, </w:t>
      </w:r>
      <w:r w:rsidRPr="004B5EE9">
        <w:t>unfunded mandates, critical maintenance needs, limited availability of resources, and the evolving role public universities are asked to play in the community and in the lives of its students and faculty who make our work possible.</w:t>
      </w:r>
    </w:p>
    <w:p w14:paraId="67C3EAC1" w14:textId="77777777" w:rsidR="003856EE" w:rsidRPr="00F41F88" w:rsidRDefault="00D518E8" w:rsidP="003856EE">
      <w:pPr>
        <w:pStyle w:val="Level3"/>
      </w:pPr>
      <w:r w:rsidRPr="00F41F88">
        <w:t>Contractual Obligations</w:t>
      </w:r>
    </w:p>
    <w:p w14:paraId="6211DA15" w14:textId="77777777" w:rsidR="003856EE" w:rsidRPr="00656A8B" w:rsidRDefault="00D518E8" w:rsidP="003856EE">
      <w:pPr>
        <w:pStyle w:val="Level4"/>
      </w:pPr>
      <w:r w:rsidRPr="00656A8B">
        <w:t xml:space="preserve">Personnel </w:t>
      </w:r>
    </w:p>
    <w:p w14:paraId="61E84E04" w14:textId="77777777" w:rsidR="003856EE" w:rsidRPr="004A7B19" w:rsidRDefault="00D518E8" w:rsidP="003856EE">
      <w:r w:rsidRPr="004A7B19">
        <w:t xml:space="preserve">Unfunded negotiated salary increases continue to be the university’s most pressing long-term financial concern. A long-term strategy will need to be reached to address this issue. </w:t>
      </w:r>
    </w:p>
    <w:p w14:paraId="2805C8FF" w14:textId="77777777" w:rsidR="00CE3DBD" w:rsidRPr="004A7B19" w:rsidRDefault="00D518E8" w:rsidP="00CE3DBD">
      <w:pPr>
        <w:pStyle w:val="bulletub"/>
      </w:pPr>
      <w:r w:rsidRPr="004A7B19">
        <w:t xml:space="preserve">The most recent United University Professions (UUP) contract expired at the end of fiscal year 2026. </w:t>
      </w:r>
      <w:r>
        <w:t>The newly negotiated contract is for 5 years and includes 4.5% across- the- board salary increase for all members and a 3% or greater increase in the remaining four years. Union members are voting on a</w:t>
      </w:r>
      <w:r w:rsidRPr="004A7B19">
        <w:t xml:space="preserve"> newly</w:t>
      </w:r>
      <w:r>
        <w:t xml:space="preserve"> </w:t>
      </w:r>
      <w:r w:rsidRPr="004A7B19">
        <w:t xml:space="preserve">negotiated </w:t>
      </w:r>
      <w:r>
        <w:t>contract at the time of publication</w:t>
      </w:r>
      <w:r w:rsidRPr="004A7B19">
        <w:t xml:space="preserve">. </w:t>
      </w:r>
      <w:r>
        <w:t>Other bargaining units have negotiated similar increases for their members.</w:t>
      </w:r>
    </w:p>
    <w:p w14:paraId="00FC9470" w14:textId="77777777" w:rsidR="00CE3DBD" w:rsidRPr="004A7B19" w:rsidRDefault="00D518E8" w:rsidP="00CE3DBD">
      <w:pPr>
        <w:pStyle w:val="bulletub"/>
      </w:pPr>
      <w:r w:rsidRPr="004A7B19">
        <w:t>While UB has benefited from state funding in recent years that helped offset the cost of negotiated salary increases, a sustainable long-term strategy for funding future salary increases has yet to be established and implemented.</w:t>
      </w:r>
    </w:p>
    <w:p w14:paraId="74D75032" w14:textId="77777777" w:rsidR="00CE3DBD" w:rsidRPr="006A3CC4" w:rsidRDefault="00D518E8" w:rsidP="00CE3DBD">
      <w:pPr>
        <w:pStyle w:val="bulletub"/>
      </w:pPr>
      <w:r>
        <w:t>E</w:t>
      </w:r>
      <w:r w:rsidRPr="004A7B19">
        <w:t xml:space="preserve">very </w:t>
      </w:r>
      <w:r>
        <w:t>1</w:t>
      </w:r>
      <w:r w:rsidRPr="004A7B19">
        <w:t xml:space="preserve">% annual salary increase for employees </w:t>
      </w:r>
      <w:r>
        <w:t>represents</w:t>
      </w:r>
      <w:r w:rsidRPr="004A7B19">
        <w:t xml:space="preserve"> about a $5 million increase in cost to UB annually.</w:t>
      </w:r>
      <w:r w:rsidRPr="004B1205">
        <w:t xml:space="preserve"> </w:t>
      </w:r>
    </w:p>
    <w:p w14:paraId="032C8142" w14:textId="77777777" w:rsidR="004B1205" w:rsidRPr="00E715DA" w:rsidRDefault="00D518E8" w:rsidP="004B1205">
      <w:pPr>
        <w:rPr>
          <w:i/>
          <w:iCs/>
        </w:rPr>
      </w:pPr>
      <w:r>
        <w:t>The university supports competitive compensation for its employees, and t</w:t>
      </w:r>
      <w:r w:rsidRPr="00E715DA">
        <w:t>he university continues to advocate for New York State to fund state-mandated salary increases. Although discussions with the state regarding support for these costs remain ongoing, no additional funding has been committed as of the time of publication. Therefore, units have been advised to assume that salary increases will be unit-funded and to incorporate these costs into their budgets</w:t>
      </w:r>
      <w:r w:rsidR="00A21AB1" w:rsidRPr="00E715DA">
        <w:rPr>
          <w:i/>
          <w:iCs/>
        </w:rPr>
        <w:t>.</w:t>
      </w:r>
    </w:p>
    <w:p w14:paraId="5D677FFD" w14:textId="77777777" w:rsidR="003856EE" w:rsidRPr="003A0BAF" w:rsidRDefault="00D518E8" w:rsidP="003856EE">
      <w:pPr>
        <w:pStyle w:val="Level3"/>
      </w:pPr>
      <w:r w:rsidRPr="003A0BAF">
        <w:lastRenderedPageBreak/>
        <w:t>Tuition Revenue and Enrollment</w:t>
      </w:r>
    </w:p>
    <w:p w14:paraId="66A603E6" w14:textId="77777777" w:rsidR="003856EE" w:rsidRPr="00600CAB" w:rsidRDefault="00D518E8" w:rsidP="003856EE">
      <w:pPr>
        <w:pStyle w:val="Level4"/>
      </w:pPr>
      <w:r w:rsidRPr="00600CAB">
        <w:t xml:space="preserve">Tuition Revenue </w:t>
      </w:r>
    </w:p>
    <w:p w14:paraId="09F06A1F" w14:textId="77777777" w:rsidR="003856EE" w:rsidRPr="005D351A" w:rsidRDefault="00D518E8" w:rsidP="00CE3DBD">
      <w:r w:rsidRPr="005D351A">
        <w:t>State budget approval allowing the SUNY board</w:t>
      </w:r>
      <w:r>
        <w:t xml:space="preserve"> of trustees</w:t>
      </w:r>
      <w:r w:rsidRPr="005D351A">
        <w:t xml:space="preserve"> to consider applying differential non-resident tuition rates was a critical first step toward aligning UB’s rates with those of our peers.  UB’s tuition and fee rates remain low compared to peer public research institutions. While this means great value for UB students and families, it </w:t>
      </w:r>
      <w:r>
        <w:t>limits resources necessary</w:t>
      </w:r>
      <w:r w:rsidRPr="005D351A">
        <w:t xml:space="preserve"> for the university to fulfill its mission.</w:t>
      </w:r>
    </w:p>
    <w:p w14:paraId="6723D963" w14:textId="77777777" w:rsidR="003856EE" w:rsidRPr="005D351A" w:rsidRDefault="00D518E8" w:rsidP="003856EE">
      <w:pPr>
        <w:pStyle w:val="Level4"/>
      </w:pPr>
      <w:r w:rsidRPr="005D351A">
        <w:t xml:space="preserve">Enrollment </w:t>
      </w:r>
    </w:p>
    <w:p w14:paraId="655798A8" w14:textId="77777777" w:rsidR="003856EE" w:rsidRDefault="00D518E8" w:rsidP="003856EE">
      <w:r w:rsidRPr="005D351A">
        <w:rPr>
          <w:rFonts w:eastAsiaTheme="majorEastAsia"/>
        </w:rPr>
        <w:t xml:space="preserve">The chart below shows UB has maintained strong enrollment. </w:t>
      </w:r>
      <w:r w:rsidRPr="005D351A">
        <w:t>As enrollment grows, this puts pressure on UB’s infrastructure and increases costs for academic support services such as student academic advising, university libraries and student services.</w:t>
      </w:r>
    </w:p>
    <w:p w14:paraId="6C88623C" w14:textId="77777777" w:rsidR="003856EE" w:rsidRPr="008307D5" w:rsidRDefault="00D518E8" w:rsidP="003856EE">
      <w:pPr>
        <w:ind w:left="0"/>
      </w:pPr>
      <w:r>
        <w:t xml:space="preserve">                </w:t>
      </w:r>
      <w:r>
        <w:rPr>
          <w:noProof/>
        </w:rPr>
        <w:drawing>
          <wp:inline distT="0" distB="0" distL="0" distR="0" wp14:anchorId="52AEB30F" wp14:editId="13181EB8">
            <wp:extent cx="4994275" cy="2997200"/>
            <wp:effectExtent l="0" t="0" r="15875" b="12700"/>
            <wp:docPr id="1428243167" name="Chart 1" descr="F2A4E6A5-86EA-4413-90D6-619423C4A8DF|3|Oracle.SmartView.EPRCS|{5ea6b6ba-d63e-42fc-afad-b67d7fe56492}">
              <a:extLst xmlns:a="http://schemas.openxmlformats.org/drawingml/2006/main">
                <a:ext uri="{FF2B5EF4-FFF2-40B4-BE49-F238E27FC236}">
                  <a16:creationId xmlns:a16="http://schemas.microsoft.com/office/drawing/2014/main" id="{8A5FA0D3-1238-BC21-D8EB-98BF9B902A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2D85A4" w14:textId="77777777" w:rsidR="003856EE" w:rsidRDefault="003856EE" w:rsidP="003856EE"/>
    <w:p w14:paraId="386CC982" w14:textId="77777777" w:rsidR="00E16EF3" w:rsidRPr="00E16EF3" w:rsidRDefault="00D518E8" w:rsidP="00E16EF3">
      <w:pPr>
        <w:ind w:left="720"/>
        <w:rPr>
          <w:rFonts w:eastAsiaTheme="majorEastAsia"/>
        </w:rPr>
      </w:pPr>
      <w:r w:rsidRPr="00E16EF3">
        <w:rPr>
          <w:rFonts w:eastAsiaTheme="majorEastAsia"/>
        </w:rPr>
        <w:t>The graph below, normalized using current-year tuition rates across all years to remove the impact of tuition rate increases, illustrates the average tuition revenue per student.</w:t>
      </w:r>
    </w:p>
    <w:p w14:paraId="407B4D67" w14:textId="77777777" w:rsidR="00E16EF3" w:rsidRPr="00E16EF3" w:rsidRDefault="00D518E8" w:rsidP="00E16EF3">
      <w:pPr>
        <w:ind w:left="720"/>
        <w:rPr>
          <w:rFonts w:eastAsiaTheme="majorEastAsia"/>
        </w:rPr>
      </w:pPr>
      <w:r w:rsidRPr="00E16EF3">
        <w:rPr>
          <w:rFonts w:eastAsiaTheme="majorEastAsia"/>
        </w:rPr>
        <w:t xml:space="preserve">The increase in revenue from Fall 2021 through Fall 2024 reflects a rebound in graduate enrollment, primarily among international students, who were disproportionately affected by the COVID-19 pandemic. In Fall 2025, average </w:t>
      </w:r>
      <w:r w:rsidRPr="00E16EF3">
        <w:rPr>
          <w:rFonts w:eastAsiaTheme="majorEastAsia"/>
        </w:rPr>
        <w:lastRenderedPageBreak/>
        <w:t>tuition revenue per student declined as international graduate enrollment decreased while resident undergraduate enrollment increased.</w:t>
      </w:r>
    </w:p>
    <w:p w14:paraId="555545B4" w14:textId="77777777" w:rsidR="003856EE" w:rsidRPr="00051390" w:rsidRDefault="00D518E8" w:rsidP="00051390">
      <w:pPr>
        <w:ind w:left="720"/>
      </w:pPr>
      <w:r w:rsidRPr="00051390">
        <w:t xml:space="preserve">    </w:t>
      </w:r>
      <w:r w:rsidRPr="00051390">
        <w:rPr>
          <w:noProof/>
        </w:rPr>
        <w:drawing>
          <wp:inline distT="0" distB="0" distL="0" distR="0" wp14:anchorId="1F5F2B46" wp14:editId="210BD946">
            <wp:extent cx="4842344" cy="2878372"/>
            <wp:effectExtent l="0" t="0" r="15875" b="17780"/>
            <wp:docPr id="346031664" name="Chart 1" descr="F2A4E6A5-86EA-4413-90D6-619423C4A8DF|3|Oracle.SmartView.EPRCS|{a8283ec7-4933-4f9b-ac58-b0c70348962e}">
              <a:extLst xmlns:a="http://schemas.openxmlformats.org/drawingml/2006/main">
                <a:ext uri="{FF2B5EF4-FFF2-40B4-BE49-F238E27FC236}">
                  <a16:creationId xmlns:a16="http://schemas.microsoft.com/office/drawing/2014/main" id="{799DAD7C-BA06-861C-EE43-B372767ED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5FE9B3" w14:textId="77777777" w:rsidR="003856EE" w:rsidRDefault="00D518E8" w:rsidP="003856EE">
      <w:pPr>
        <w:ind w:left="0" w:firstLine="360"/>
        <w:rPr>
          <w:rFonts w:eastAsiaTheme="majorEastAsia"/>
        </w:rPr>
      </w:pPr>
      <w:r w:rsidRPr="00051390">
        <w:rPr>
          <w:rFonts w:eastAsiaTheme="majorEastAsia"/>
        </w:rPr>
        <w:t xml:space="preserve">* Tuition revenue is expressed in </w:t>
      </w:r>
      <w:sdt>
        <w:sdtPr>
          <w:rPr>
            <w:rFonts w:eastAsiaTheme="majorEastAsia"/>
          </w:rPr>
          <w:alias w:val="CurrentYear XXXX/XXXX"/>
          <w:tag w:val="&lt;ReportPackage&gt;&lt;Variable id=&quot;75ef574e-6368-4639-bee0-3a88537f0c27&quot; usageType=&quot;Value&quot; /&gt;&lt;/ReportPackage&gt;"/>
          <w:id w:val="-324822687"/>
          <w:placeholder>
            <w:docPart w:val="5CCCE36E0BFA4A408432BEDEF9A08095"/>
          </w:placeholder>
          <w:text/>
        </w:sdtPr>
        <w:sdtEndPr/>
        <w:sdtContent>
          <w:r w:rsidRPr="00051390">
            <w:rPr>
              <w:rFonts w:eastAsiaTheme="majorEastAsia"/>
            </w:rPr>
            <w:t>2026/2027</w:t>
          </w:r>
        </w:sdtContent>
      </w:sdt>
      <w:r w:rsidRPr="00051390">
        <w:rPr>
          <w:rFonts w:eastAsiaTheme="majorEastAsia"/>
        </w:rPr>
        <w:t xml:space="preserve"> dollars.</w:t>
      </w:r>
    </w:p>
    <w:p w14:paraId="519553AA" w14:textId="77777777" w:rsidR="00676844" w:rsidRPr="00676844" w:rsidRDefault="00D518E8" w:rsidP="00676844">
      <w:pPr>
        <w:pStyle w:val="Level4"/>
      </w:pPr>
      <w:r w:rsidRPr="00676844">
        <w:t>Enrollment Growth</w:t>
      </w:r>
    </w:p>
    <w:p w14:paraId="68B78037" w14:textId="77777777" w:rsidR="00676844" w:rsidRPr="00676844" w:rsidRDefault="00D518E8" w:rsidP="00676844">
      <w:r w:rsidRPr="00676844">
        <w:t xml:space="preserve">Increased headcount can have a widespread effect on the university by increasing demand for campus housing, dining, classroom space, required classes, and more. Units are therefore required to work closely with the provost to implement plans for enrollment growth. </w:t>
      </w:r>
    </w:p>
    <w:p w14:paraId="62BEA78D" w14:textId="77777777" w:rsidR="00676844" w:rsidRPr="00676844" w:rsidRDefault="00D518E8" w:rsidP="00676844">
      <w:r w:rsidRPr="00676844">
        <w:t>If an academic unit receives additional funding to support enrollment growth, funds are delivered in non-recurring state operating dollars the following year in August.</w:t>
      </w:r>
    </w:p>
    <w:p w14:paraId="472EC9CD" w14:textId="77777777" w:rsidR="00676844" w:rsidRPr="00676844" w:rsidRDefault="00D518E8" w:rsidP="00676844">
      <w:pPr>
        <w:pStyle w:val="Level4"/>
      </w:pPr>
      <w:r w:rsidRPr="00676844">
        <w:t>Considerations for Growing Enrollment</w:t>
      </w:r>
    </w:p>
    <w:p w14:paraId="6900A7CB" w14:textId="77777777" w:rsidR="00676844" w:rsidRPr="00676844" w:rsidRDefault="00D518E8" w:rsidP="00676844">
      <w:pPr>
        <w:pStyle w:val="bulletub"/>
      </w:pPr>
      <w:r w:rsidRPr="00676844">
        <w:t>Overall enrollment growth mix; university tuition revenue</w:t>
      </w:r>
    </w:p>
    <w:p w14:paraId="59320D48" w14:textId="77777777" w:rsidR="00676844" w:rsidRPr="00676844" w:rsidRDefault="00D518E8" w:rsidP="00676844">
      <w:pPr>
        <w:pStyle w:val="bulletub"/>
      </w:pPr>
      <w:r w:rsidRPr="00676844">
        <w:t>Impact on campus housing, dining, classroom space, College of Arts and Sciences classes, and UB Curriculum offerings</w:t>
      </w:r>
    </w:p>
    <w:p w14:paraId="70346AA1" w14:textId="77777777" w:rsidR="00676844" w:rsidRPr="00676844" w:rsidRDefault="00D518E8" w:rsidP="00676844">
      <w:pPr>
        <w:pStyle w:val="bulletub"/>
      </w:pPr>
      <w:r w:rsidRPr="00676844">
        <w:t>Status of the university multi-year financial plan; overall financial health of the university</w:t>
      </w:r>
    </w:p>
    <w:p w14:paraId="25EB9CC6" w14:textId="77777777" w:rsidR="00676844" w:rsidRPr="00676844" w:rsidRDefault="00D518E8" w:rsidP="00676844">
      <w:pPr>
        <w:pStyle w:val="bulletub"/>
      </w:pPr>
      <w:r w:rsidRPr="00676844">
        <w:t xml:space="preserve">Headcount targets for the next fiscal year are discussed in the fall through meetings with academic units led by the Vice Provost for Enrollment Management (EM), in collaboration with the Assistant Vice President for </w:t>
      </w:r>
      <w:r w:rsidRPr="00676844">
        <w:lastRenderedPageBreak/>
        <w:t xml:space="preserve">Resource Planning (RP) and the </w:t>
      </w:r>
      <w:r w:rsidR="004570B0">
        <w:t xml:space="preserve">Vice Provost for </w:t>
      </w:r>
      <w:r w:rsidRPr="00676844">
        <w:t xml:space="preserve"> Institutional </w:t>
      </w:r>
      <w:r w:rsidR="004570B0">
        <w:t>Analysis and Planning</w:t>
      </w:r>
      <w:r w:rsidRPr="00676844">
        <w:t xml:space="preserve">. </w:t>
      </w:r>
    </w:p>
    <w:p w14:paraId="5AEA1C30" w14:textId="77777777" w:rsidR="003856EE" w:rsidRPr="004570B0" w:rsidRDefault="00D518E8" w:rsidP="003856EE">
      <w:pPr>
        <w:pStyle w:val="Level3"/>
      </w:pPr>
      <w:r w:rsidRPr="004570B0">
        <w:t xml:space="preserve">Capital </w:t>
      </w:r>
    </w:p>
    <w:p w14:paraId="6248497B" w14:textId="77777777" w:rsidR="003856EE" w:rsidRPr="004570B0" w:rsidRDefault="00D518E8" w:rsidP="003856EE">
      <w:pPr>
        <w:pStyle w:val="Level4"/>
      </w:pPr>
      <w:r w:rsidRPr="004570B0">
        <w:t xml:space="preserve">Academic Space Needs </w:t>
      </w:r>
    </w:p>
    <w:p w14:paraId="0A37F10B" w14:textId="77777777" w:rsidR="003856EE" w:rsidRPr="004570B0" w:rsidRDefault="00D518E8" w:rsidP="003856EE">
      <w:r w:rsidRPr="004570B0">
        <w:t>We were pleased with the capital allotment in this past year’s budget; however, the amount of capital funding does not meet the needs of our aging campus.</w:t>
      </w:r>
    </w:p>
    <w:p w14:paraId="1F26E20E" w14:textId="77777777" w:rsidR="003856EE" w:rsidRPr="004570B0" w:rsidRDefault="00D518E8" w:rsidP="003856EE">
      <w:r w:rsidRPr="004570B0">
        <w:t>UB’s deferred maintenance needs have grown exponentially and have risen above $</w:t>
      </w:r>
      <w:r w:rsidR="006A3CC4" w:rsidRPr="004570B0">
        <w:t>966</w:t>
      </w:r>
      <w:r w:rsidRPr="004570B0">
        <w:t xml:space="preserve"> million. Recent investments have led to a sizeable increase in faculty</w:t>
      </w:r>
      <w:r w:rsidR="00CE3DBD">
        <w:t>;</w:t>
      </w:r>
      <w:r w:rsidRPr="004570B0">
        <w:t xml:space="preserve"> the need for additional office and research space is also stressing our infrastructure. Continued enrollment growth will be highly dependent upon our ability to expand our physical capacity to accommodate additional students and faculty. </w:t>
      </w:r>
    </w:p>
    <w:p w14:paraId="31BAE943" w14:textId="77777777" w:rsidR="003856EE" w:rsidRDefault="00D518E8" w:rsidP="003856EE">
      <w:r w:rsidRPr="004570B0">
        <w:t>While deferred maintenance needs grow, recent one-time investments have helped as UB will be investing over $1.64 billion in our built environment over the next decade, embarking on one of the most significant periods of campus growth and modernization in UB’s history.</w:t>
      </w:r>
      <w:r>
        <w:t xml:space="preserve">  </w:t>
      </w:r>
    </w:p>
    <w:p w14:paraId="6A936F54" w14:textId="77777777" w:rsidR="003856EE" w:rsidRDefault="00D518E8" w:rsidP="003856EE">
      <w:pPr>
        <w:pStyle w:val="LearnMore0"/>
      </w:pPr>
      <w:r w:rsidRPr="00170E14">
        <w:t>Learn more about</w:t>
      </w:r>
      <w:r>
        <w:t xml:space="preserve"> </w:t>
      </w:r>
      <w:hyperlink r:id="rId16" w:history="1">
        <w:r w:rsidR="003856EE" w:rsidRPr="00F261BD">
          <w:rPr>
            <w:rStyle w:val="Hyperlink"/>
          </w:rPr>
          <w:t>UB’s capital projects</w:t>
        </w:r>
      </w:hyperlink>
      <w:r w:rsidRPr="00170E14">
        <w:t xml:space="preserve"> </w:t>
      </w:r>
    </w:p>
    <w:p w14:paraId="3522C800" w14:textId="77777777" w:rsidR="003856EE" w:rsidRPr="00D0078C" w:rsidRDefault="00D518E8" w:rsidP="003856EE">
      <w:pPr>
        <w:pStyle w:val="Level4"/>
        <w:rPr>
          <w:color w:val="auto"/>
        </w:rPr>
      </w:pPr>
      <w:r w:rsidRPr="00D0078C">
        <w:rPr>
          <w:color w:val="auto"/>
        </w:rPr>
        <w:t>Holistic Capital Planning</w:t>
      </w:r>
    </w:p>
    <w:p w14:paraId="125F83B7" w14:textId="77777777" w:rsidR="003856EE" w:rsidRPr="00CA652A" w:rsidRDefault="00D518E8" w:rsidP="003856EE">
      <w:r w:rsidRPr="00CA652A">
        <w:t xml:space="preserve">Expectations surrounding UB’s ability to address capital issues in a comprehensive manner also remain an area of concern.  </w:t>
      </w:r>
    </w:p>
    <w:p w14:paraId="754CC38B" w14:textId="77777777" w:rsidR="003856EE" w:rsidRPr="00CA652A" w:rsidRDefault="00D518E8" w:rsidP="003856EE">
      <w:r w:rsidRPr="00CA652A">
        <w:t>Though the university is pursuing efficiency measures to defray these costs, without consistent and adequate funding that is in alignment with our deferred maintenance needs</w:t>
      </w:r>
      <w:r w:rsidR="00CE3DBD">
        <w:t>,</w:t>
      </w:r>
      <w:r w:rsidRPr="00CA652A">
        <w:t xml:space="preserve"> academic quality, faculty recruitment and retention, and the student experience will be negatively impacted. </w:t>
      </w:r>
    </w:p>
    <w:p w14:paraId="1CF690F4" w14:textId="77777777" w:rsidR="003856EE" w:rsidRPr="00CA652A" w:rsidRDefault="00D518E8" w:rsidP="003856EE">
      <w:r w:rsidRPr="00CA652A">
        <w:t>While the university continues to support efforts to diversify and grow our student body while also providing a safe and inclusive campus, these efforts</w:t>
      </w:r>
      <w:r w:rsidR="00CE3DBD">
        <w:t xml:space="preserve"> also</w:t>
      </w:r>
      <w:r w:rsidRPr="00CA652A">
        <w:t xml:space="preserve"> come at </w:t>
      </w:r>
      <w:r w:rsidR="00CE3DBD">
        <w:t xml:space="preserve">with </w:t>
      </w:r>
      <w:r w:rsidRPr="00CA652A">
        <w:t>a</w:t>
      </w:r>
      <w:r w:rsidR="00CE3DBD">
        <w:t>dded</w:t>
      </w:r>
      <w:r w:rsidRPr="00CA652A">
        <w:t xml:space="preserve"> cost.  </w:t>
      </w:r>
    </w:p>
    <w:p w14:paraId="3A239205" w14:textId="77777777" w:rsidR="00FB1707" w:rsidRDefault="00D518E8" w:rsidP="008D3165">
      <w:pPr>
        <w:rPr>
          <w:b/>
          <w:color w:val="393939" w:themeColor="background2" w:themeShade="40"/>
          <w:sz w:val="28"/>
        </w:rPr>
      </w:pPr>
      <w:r w:rsidRPr="00CA652A">
        <w:t>We consider these costs to be a sound investment in our future and the future of our students, however, resources allocated to these initiatives require shifting resources away from other areas of investment.</w:t>
      </w:r>
    </w:p>
    <w:p w14:paraId="01A59832" w14:textId="77777777" w:rsidR="008D3165" w:rsidRDefault="008D3165" w:rsidP="003856EE">
      <w:pPr>
        <w:pStyle w:val="Level3"/>
      </w:pPr>
    </w:p>
    <w:p w14:paraId="48CC697D" w14:textId="77777777" w:rsidR="003856EE" w:rsidRPr="007A7C5A" w:rsidRDefault="00D518E8" w:rsidP="003856EE">
      <w:pPr>
        <w:pStyle w:val="Level3"/>
        <w:rPr>
          <w:i/>
        </w:rPr>
      </w:pPr>
      <w:r w:rsidRPr="007A7C5A">
        <w:lastRenderedPageBreak/>
        <w:t>Research Support Costs</w:t>
      </w:r>
    </w:p>
    <w:p w14:paraId="64F7CA82" w14:textId="77777777" w:rsidR="003856EE" w:rsidRPr="007A7C5A" w:rsidRDefault="00D518E8" w:rsidP="003856EE">
      <w:r w:rsidRPr="007A7C5A">
        <w:t>We remain committed to growing our research enterprise and advancing scholarly excellence. We view these costs as an investment in the university’s future and continue to dedicate resources to supporting research activities. While UB achieved another record year for research expenditures in 2023–24, budget reductions at several federal agencies—among the university’s largest sources of research funding—have created challenges in sustaining this trajectory. The university will continue to closely monitor the evolving federal funding landscape and respond strategically to mitigate risks and capitalize on emerging opportunities.</w:t>
      </w:r>
    </w:p>
    <w:p w14:paraId="1120CA53" w14:textId="77777777" w:rsidR="003856EE" w:rsidRDefault="00D518E8" w:rsidP="003856EE">
      <w:r>
        <w:t>Related to our investments in research, the graph below represents UB’s research expenditures in millions.</w:t>
      </w:r>
    </w:p>
    <w:p w14:paraId="31FE979D" w14:textId="77777777" w:rsidR="003856EE" w:rsidRDefault="00D518E8" w:rsidP="00E16EF3">
      <w:pPr>
        <w:ind w:left="720"/>
      </w:pPr>
      <w:r>
        <w:rPr>
          <w:noProof/>
        </w:rPr>
        <w:drawing>
          <wp:inline distT="0" distB="0" distL="0" distR="0" wp14:anchorId="5E9B18C9" wp14:editId="7F12C65C">
            <wp:extent cx="4905375" cy="2600325"/>
            <wp:effectExtent l="0" t="0" r="9525" b="9525"/>
            <wp:docPr id="1078660934" name="Chart 1" descr="F2A4E6A5-86EA-4413-90D6-619423C4A8DF|3|Oracle.SmartView.EPRCS|{9aa237d7-ae74-48e5-b36f-5d7cb3b56b98}">
              <a:extLst xmlns:a="http://schemas.openxmlformats.org/drawingml/2006/main">
                <a:ext uri="{FF2B5EF4-FFF2-40B4-BE49-F238E27FC236}">
                  <a16:creationId xmlns:a16="http://schemas.microsoft.com/office/drawing/2014/main" id="{EA1C34C8-88E3-C3A4-14D4-4F6DB6FD2C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0B2420" w14:textId="77777777" w:rsidR="003856EE" w:rsidRPr="00CC03BA" w:rsidRDefault="00D518E8" w:rsidP="003B5D4A">
      <w:pPr>
        <w:pStyle w:val="ListParagraph"/>
        <w:keepNext/>
        <w:keepLines/>
        <w:numPr>
          <w:ilvl w:val="0"/>
          <w:numId w:val="16"/>
        </w:numPr>
        <w:outlineLvl w:val="1"/>
        <w:rPr>
          <w:rFonts w:eastAsiaTheme="majorEastAsia" w:cstheme="majorBidi"/>
          <w:color w:val="990000"/>
          <w:sz w:val="32"/>
          <w:szCs w:val="36"/>
        </w:rPr>
      </w:pPr>
      <w:bookmarkStart w:id="10" w:name="_Toc236305175"/>
      <w:r w:rsidRPr="00CC03BA">
        <w:rPr>
          <w:rFonts w:eastAsiaTheme="majorEastAsia" w:cstheme="majorBidi"/>
          <w:color w:val="990000"/>
          <w:sz w:val="32"/>
          <w:szCs w:val="36"/>
        </w:rPr>
        <w:t>Actions to Address Fiscal Challenges</w:t>
      </w:r>
      <w:bookmarkEnd w:id="10"/>
      <w:r w:rsidRPr="00CC03BA">
        <w:rPr>
          <w:rFonts w:eastAsiaTheme="majorEastAsia" w:cstheme="majorBidi"/>
          <w:color w:val="990000"/>
          <w:sz w:val="32"/>
          <w:szCs w:val="36"/>
        </w:rPr>
        <w:t xml:space="preserve"> </w:t>
      </w:r>
    </w:p>
    <w:p w14:paraId="39759B0B" w14:textId="77777777" w:rsidR="003856EE" w:rsidRPr="007779A9" w:rsidRDefault="00D518E8" w:rsidP="003856EE">
      <w:r w:rsidRPr="007779A9">
        <w:t>To address and prepare for fiscal challenges, we evaluate operations to identify efficiencies, maximize our current resources, review and adjust our financial projections, and advocate for addition support from the State. Our Annual Resource Planning Process (ARPP) continuously evolves to ensure resources are allocated in a manner that aligns with university priorities.</w:t>
      </w:r>
    </w:p>
    <w:p w14:paraId="6FC9D068" w14:textId="77777777" w:rsidR="003856EE" w:rsidRPr="007779A9" w:rsidRDefault="00D518E8" w:rsidP="003856EE">
      <w:r w:rsidRPr="007779A9">
        <w:t>Below is an overview of some of the steps we have taken to maintain our fiscal strength and prepare for inevitable change, challenge, and opportunity.</w:t>
      </w:r>
    </w:p>
    <w:p w14:paraId="2C4D16B3" w14:textId="77777777" w:rsidR="003856EE" w:rsidRPr="007779A9" w:rsidRDefault="00D518E8" w:rsidP="003B5D4A">
      <w:pPr>
        <w:numPr>
          <w:ilvl w:val="0"/>
          <w:numId w:val="14"/>
        </w:numPr>
        <w:contextualSpacing/>
      </w:pPr>
      <w:r w:rsidRPr="007779A9">
        <w:t xml:space="preserve">In 2021/22, we revised the academic-year budget model. Now with SUNY revising their Pooled Off-Set overhead charge policy, it allows us to streamline </w:t>
      </w:r>
      <w:r w:rsidRPr="007779A9">
        <w:lastRenderedPageBreak/>
        <w:t>the summer and winter models in 2025/26.  These model updates provide additional funding to academic units that grow their revenue. Conversely, for units with declining revenue, we are able to quickly adjust revenue to those units and chart a path for future success. The models are outlined later in this document.</w:t>
      </w:r>
    </w:p>
    <w:p w14:paraId="246CA0AE" w14:textId="77777777" w:rsidR="003856EE" w:rsidRPr="007779A9" w:rsidRDefault="00D518E8" w:rsidP="003B5D4A">
      <w:pPr>
        <w:numPr>
          <w:ilvl w:val="0"/>
          <w:numId w:val="14"/>
        </w:numPr>
        <w:contextualSpacing/>
      </w:pPr>
      <w:r w:rsidRPr="007779A9">
        <w:t xml:space="preserve">In 2024, we implemented </w:t>
      </w:r>
      <w:r w:rsidRPr="007779A9">
        <w:rPr>
          <w:b/>
        </w:rPr>
        <w:t xml:space="preserve">UPlan, a budgeting, planning and forecasting system </w:t>
      </w:r>
      <w:r w:rsidRPr="007779A9">
        <w:t>that improves accuracy and efficiency and supports scenario planning. UPlan integrated budget development for workforce, commitment management, revenue and non-personal operating budgets in one platform.</w:t>
      </w:r>
    </w:p>
    <w:p w14:paraId="765CE9E8" w14:textId="77777777" w:rsidR="003856EE" w:rsidRPr="007779A9" w:rsidRDefault="00D518E8" w:rsidP="003B5D4A">
      <w:pPr>
        <w:numPr>
          <w:ilvl w:val="0"/>
          <w:numId w:val="15"/>
        </w:numPr>
        <w:contextualSpacing/>
      </w:pPr>
      <w:r w:rsidRPr="007779A9">
        <w:t>Our data analytics function provides both central administration and units with department and program-level data. This data is integrated with UPlan and is used to forecast enrollment, tuition, and for resource planning.</w:t>
      </w:r>
    </w:p>
    <w:p w14:paraId="65865A0C" w14:textId="77777777" w:rsidR="003856EE" w:rsidRPr="007779A9" w:rsidRDefault="00D518E8" w:rsidP="003B5D4A">
      <w:pPr>
        <w:numPr>
          <w:ilvl w:val="0"/>
          <w:numId w:val="15"/>
        </w:numPr>
        <w:contextualSpacing/>
      </w:pPr>
      <w:r w:rsidRPr="007779A9">
        <w:t>We implemented multi-year utilities planning to achieve energy savings.</w:t>
      </w:r>
    </w:p>
    <w:p w14:paraId="6E39666F" w14:textId="77777777" w:rsidR="003856EE" w:rsidRPr="007779A9" w:rsidRDefault="00D518E8" w:rsidP="003B5D4A">
      <w:pPr>
        <w:numPr>
          <w:ilvl w:val="0"/>
          <w:numId w:val="15"/>
        </w:numPr>
        <w:contextualSpacing/>
      </w:pPr>
      <w:r w:rsidRPr="007779A9">
        <w:t xml:space="preserve">We developed a multi-phased approach to achieve our Capital Master Plan aspirations.  </w:t>
      </w:r>
    </w:p>
    <w:p w14:paraId="2B1B95A1" w14:textId="77777777" w:rsidR="003856EE" w:rsidRPr="009A5F81" w:rsidRDefault="003856EE" w:rsidP="003856EE">
      <w:pPr>
        <w:ind w:left="1080"/>
        <w:contextualSpacing/>
        <w:rPr>
          <w:highlight w:val="yellow"/>
        </w:rPr>
      </w:pPr>
    </w:p>
    <w:p w14:paraId="5C480B24" w14:textId="77777777" w:rsidR="003856EE" w:rsidRPr="007779A9" w:rsidRDefault="00D518E8" w:rsidP="003856EE">
      <w:pPr>
        <w:rPr>
          <w:b/>
          <w:color w:val="393939" w:themeColor="background2" w:themeShade="40"/>
          <w:sz w:val="28"/>
        </w:rPr>
      </w:pPr>
      <w:r w:rsidRPr="007779A9">
        <w:rPr>
          <w:b/>
          <w:color w:val="393939" w:themeColor="background2" w:themeShade="40"/>
          <w:sz w:val="28"/>
        </w:rPr>
        <w:t>Technology &amp; Business Process Solutions</w:t>
      </w:r>
    </w:p>
    <w:p w14:paraId="52E0531F" w14:textId="77777777" w:rsidR="003856EE" w:rsidRPr="007779A9" w:rsidRDefault="00D518E8" w:rsidP="003856EE">
      <w:r w:rsidRPr="007779A9">
        <w:t xml:space="preserve">UB has embraced a number of technological and business process solutions to reduce costs and better manage our resources, as part of our university-wide Operational Excellence initiative.  </w:t>
      </w:r>
    </w:p>
    <w:p w14:paraId="02E1AD73" w14:textId="77777777" w:rsidR="003856EE" w:rsidRPr="007779A9" w:rsidRDefault="00D518E8" w:rsidP="003856EE">
      <w:pPr>
        <w:spacing w:after="100" w:afterAutospacing="1"/>
        <w:ind w:left="1166"/>
        <w:rPr>
          <w:i/>
          <w:color w:val="727272" w:themeColor="background2" w:themeShade="80"/>
        </w:rPr>
      </w:pPr>
      <w:r w:rsidRPr="007779A9">
        <w:rPr>
          <w:i/>
          <w:color w:val="727272" w:themeColor="background2" w:themeShade="80"/>
        </w:rPr>
        <w:t>Learn more about</w:t>
      </w:r>
      <w:r w:rsidRPr="007779A9">
        <w:rPr>
          <w:b/>
          <w:color w:val="727272" w:themeColor="background2" w:themeShade="80"/>
        </w:rPr>
        <w:t xml:space="preserve"> </w:t>
      </w:r>
      <w:hyperlink r:id="rId18" w:history="1">
        <w:r w:rsidR="003856EE" w:rsidRPr="007779A9">
          <w:rPr>
            <w:color w:val="0070C0"/>
            <w:u w:val="single"/>
          </w:rPr>
          <w:t>UB’s Operational Excellence initiative</w:t>
        </w:r>
      </w:hyperlink>
    </w:p>
    <w:p w14:paraId="26C7B872" w14:textId="77777777" w:rsidR="003856EE" w:rsidRPr="007779A9" w:rsidRDefault="00D518E8" w:rsidP="003856EE">
      <w:pPr>
        <w:rPr>
          <w:b/>
          <w:i/>
          <w:color w:val="393939" w:themeColor="background2" w:themeShade="40"/>
          <w:sz w:val="28"/>
        </w:rPr>
      </w:pPr>
      <w:r w:rsidRPr="007779A9">
        <w:rPr>
          <w:b/>
          <w:color w:val="393939" w:themeColor="background2" w:themeShade="40"/>
          <w:sz w:val="28"/>
        </w:rPr>
        <w:t>State-controlled dependencies</w:t>
      </w:r>
    </w:p>
    <w:p w14:paraId="56FBB293" w14:textId="77777777" w:rsidR="003856EE" w:rsidRPr="007779A9" w:rsidRDefault="00D518E8" w:rsidP="003856EE">
      <w:r w:rsidRPr="007779A9">
        <w:t xml:space="preserve">The university continues to advocate for state support and tuition and fee rates that, together, keep UB’s resources on par with peer institutions. </w:t>
      </w:r>
    </w:p>
    <w:p w14:paraId="10FE94FC" w14:textId="77777777" w:rsidR="003856EE" w:rsidRPr="007779A9" w:rsidRDefault="00D518E8" w:rsidP="003856EE">
      <w:r w:rsidRPr="007779A9">
        <w:t xml:space="preserve">Capital funding will remain a priority during this year’s budget. Capital funding advocacy must include funds for critical maintenance and strategic priority projects including major building renovations and new buildings. </w:t>
      </w:r>
    </w:p>
    <w:p w14:paraId="11A64A63" w14:textId="77777777" w:rsidR="003856EE" w:rsidRPr="007779A9" w:rsidRDefault="00D518E8" w:rsidP="003856EE">
      <w:pPr>
        <w:rPr>
          <w:rFonts w:eastAsiaTheme="majorEastAsia" w:cstheme="majorBidi"/>
          <w:color w:val="002F56"/>
          <w:sz w:val="36"/>
          <w:szCs w:val="40"/>
        </w:rPr>
      </w:pPr>
      <w:r w:rsidRPr="007779A9">
        <w:t xml:space="preserve">UB is experiencing an increase in demand for STEM programs. STEM programs require modern laboratories and facilities. Access to campus space for both classroom and laboratories is strained. </w:t>
      </w:r>
    </w:p>
    <w:p w14:paraId="33806C57" w14:textId="77777777" w:rsidR="003856EE" w:rsidRPr="004971F6" w:rsidRDefault="00D518E8" w:rsidP="003856EE">
      <w:pPr>
        <w:keepNext/>
        <w:keepLines/>
        <w:pBdr>
          <w:bottom w:val="single" w:sz="4" w:space="2" w:color="E56A54" w:themeColor="accent2"/>
        </w:pBdr>
        <w:spacing w:before="360" w:after="120"/>
        <w:ind w:left="0"/>
        <w:outlineLvl w:val="0"/>
        <w:rPr>
          <w:rFonts w:eastAsiaTheme="majorEastAsia" w:cstheme="majorBidi"/>
          <w:color w:val="002F56"/>
          <w:sz w:val="36"/>
          <w:szCs w:val="40"/>
        </w:rPr>
      </w:pPr>
      <w:bookmarkStart w:id="11" w:name="_Toc236305176"/>
      <w:r w:rsidRPr="004971F6">
        <w:rPr>
          <w:rFonts w:eastAsiaTheme="majorEastAsia" w:cstheme="majorBidi"/>
          <w:color w:val="002F56"/>
          <w:sz w:val="36"/>
          <w:szCs w:val="40"/>
        </w:rPr>
        <w:lastRenderedPageBreak/>
        <w:t>Budget Planning</w:t>
      </w:r>
      <w:bookmarkEnd w:id="11"/>
      <w:r w:rsidRPr="004971F6">
        <w:rPr>
          <w:rFonts w:eastAsiaTheme="majorEastAsia" w:cstheme="majorBidi"/>
          <w:color w:val="002F56"/>
          <w:sz w:val="36"/>
          <w:szCs w:val="40"/>
        </w:rPr>
        <w:t xml:space="preserve"> </w:t>
      </w:r>
    </w:p>
    <w:p w14:paraId="60C91E2B" w14:textId="77777777" w:rsidR="003856EE" w:rsidRPr="004971F6" w:rsidRDefault="00D518E8" w:rsidP="003B5D4A">
      <w:pPr>
        <w:keepNext/>
        <w:keepLines/>
        <w:numPr>
          <w:ilvl w:val="0"/>
          <w:numId w:val="17"/>
        </w:numPr>
        <w:outlineLvl w:val="1"/>
        <w:rPr>
          <w:rFonts w:eastAsiaTheme="majorEastAsia" w:cstheme="majorBidi"/>
          <w:color w:val="990000"/>
          <w:sz w:val="32"/>
          <w:szCs w:val="36"/>
        </w:rPr>
      </w:pPr>
      <w:bookmarkStart w:id="12" w:name="_Toc236305177"/>
      <w:r w:rsidRPr="004971F6">
        <w:rPr>
          <w:rFonts w:eastAsiaTheme="majorEastAsia" w:cstheme="majorBidi"/>
          <w:color w:val="990000"/>
          <w:sz w:val="32"/>
          <w:szCs w:val="36"/>
        </w:rPr>
        <w:t>Annual Resource Planning Process (ARPP)</w:t>
      </w:r>
      <w:bookmarkEnd w:id="12"/>
    </w:p>
    <w:p w14:paraId="1E974C49" w14:textId="77777777" w:rsidR="003856EE" w:rsidRPr="0008715F" w:rsidRDefault="00D518E8" w:rsidP="003856EE">
      <w:r w:rsidRPr="0008715F">
        <w:t>The Annual Resource Planning Process (ARPP) provides a framework for the university to review our financial capacity, align our current resources to support our priorities, and assess potential areas for new investment.</w:t>
      </w:r>
    </w:p>
    <w:p w14:paraId="2D565F3E" w14:textId="77777777" w:rsidR="003856EE" w:rsidRPr="0008715F" w:rsidRDefault="00D518E8" w:rsidP="003856EE">
      <w:r w:rsidRPr="0008715F">
        <w:t>During our Annual Resource Planning Process (ARPP), we make collaborative and thoughtful decisions about the degree to which a program helps us achieve our strategic goals. We consider how it serves our students’ changing needs. How it supports our neighboring communities. How it supports our faculty’s groundbreaking research. And how far it can get us toward our next goal: being recognized among the top 25 public research universities in the U.S.</w:t>
      </w:r>
    </w:p>
    <w:p w14:paraId="65909561" w14:textId="77777777" w:rsidR="003856EE" w:rsidRPr="0008715F" w:rsidRDefault="00D518E8" w:rsidP="003856EE">
      <w:r w:rsidRPr="0008715F">
        <w:t>Each funding request herein is critically reviewed and, combined with our ongoing programs to find efficiencies and other cost-savings, will allow UB to continue to make valuable contributions locally, nationally, and globally.</w:t>
      </w:r>
    </w:p>
    <w:p w14:paraId="76BF8B7E" w14:textId="77777777" w:rsidR="003856EE" w:rsidRPr="0008715F" w:rsidRDefault="00D518E8" w:rsidP="003856EE">
      <w:pPr>
        <w:rPr>
          <w:b/>
          <w:color w:val="393939" w:themeColor="background2" w:themeShade="40"/>
          <w:sz w:val="28"/>
        </w:rPr>
      </w:pPr>
      <w:r w:rsidRPr="0008715F">
        <w:rPr>
          <w:b/>
          <w:color w:val="393939" w:themeColor="background2" w:themeShade="40"/>
          <w:sz w:val="28"/>
        </w:rPr>
        <w:t>Guiding Principles</w:t>
      </w:r>
    </w:p>
    <w:p w14:paraId="2D575823" w14:textId="77777777" w:rsidR="003856EE" w:rsidRPr="0008715F" w:rsidRDefault="00D518E8" w:rsidP="003856EE">
      <w:r w:rsidRPr="0008715F">
        <w:t xml:space="preserve">UB utilizes the ARPP to plan for its financial needs. Guided by five principles, our planning process takes a holistic approach to identifying university needs and allocating available funds to support both individual unit needs and the strategic priorities of the university a whole. </w:t>
      </w:r>
    </w:p>
    <w:p w14:paraId="0ADCF7D5" w14:textId="77777777" w:rsidR="003856EE" w:rsidRPr="0008715F" w:rsidRDefault="00D518E8" w:rsidP="003B5D4A">
      <w:pPr>
        <w:numPr>
          <w:ilvl w:val="0"/>
          <w:numId w:val="18"/>
        </w:numPr>
      </w:pPr>
      <w:r w:rsidRPr="0008715F">
        <w:rPr>
          <w:b/>
        </w:rPr>
        <w:t>Strategic</w:t>
      </w:r>
      <w:r w:rsidRPr="0008715F">
        <w:t xml:space="preserve"> - The plan aligns incentives with our mission and strategic behaviors.</w:t>
      </w:r>
    </w:p>
    <w:p w14:paraId="5A1C53EF" w14:textId="77777777" w:rsidR="003856EE" w:rsidRPr="0008715F" w:rsidRDefault="00D518E8" w:rsidP="003B5D4A">
      <w:pPr>
        <w:numPr>
          <w:ilvl w:val="0"/>
          <w:numId w:val="18"/>
        </w:numPr>
      </w:pPr>
      <w:r w:rsidRPr="0008715F">
        <w:rPr>
          <w:b/>
        </w:rPr>
        <w:t>Predictable</w:t>
      </w:r>
      <w:r w:rsidRPr="0008715F">
        <w:t xml:space="preserve"> - The plan builds models that provide a reliable foundation for planning.</w:t>
      </w:r>
    </w:p>
    <w:p w14:paraId="0BCCE273" w14:textId="77777777" w:rsidR="003856EE" w:rsidRPr="0008715F" w:rsidRDefault="00D518E8" w:rsidP="003B5D4A">
      <w:pPr>
        <w:numPr>
          <w:ilvl w:val="0"/>
          <w:numId w:val="18"/>
        </w:numPr>
      </w:pPr>
      <w:r w:rsidRPr="0008715F">
        <w:rPr>
          <w:b/>
        </w:rPr>
        <w:t>Flexibility</w:t>
      </w:r>
      <w:r w:rsidRPr="0008715F">
        <w:t xml:space="preserve"> - The plan builds models that anticipate and are responsive to changes in the economic environment as well as incorporating appropriate risk management strategies.</w:t>
      </w:r>
    </w:p>
    <w:p w14:paraId="4E181B76" w14:textId="77777777" w:rsidR="003856EE" w:rsidRPr="0008715F" w:rsidRDefault="00D518E8" w:rsidP="003B5D4A">
      <w:pPr>
        <w:numPr>
          <w:ilvl w:val="0"/>
          <w:numId w:val="18"/>
        </w:numPr>
      </w:pPr>
      <w:r w:rsidRPr="0008715F">
        <w:rPr>
          <w:b/>
        </w:rPr>
        <w:t>Integration</w:t>
      </w:r>
      <w:r w:rsidRPr="0008715F">
        <w:t xml:space="preserve"> - The plan considers the university as a whole and make intentional connections between organizational needs and priorities.</w:t>
      </w:r>
    </w:p>
    <w:p w14:paraId="0DE254DD" w14:textId="77777777" w:rsidR="003856EE" w:rsidRPr="0008715F" w:rsidRDefault="00D518E8" w:rsidP="003B5D4A">
      <w:pPr>
        <w:numPr>
          <w:ilvl w:val="0"/>
          <w:numId w:val="18"/>
        </w:numPr>
      </w:pPr>
      <w:r w:rsidRPr="0008715F">
        <w:rPr>
          <w:b/>
        </w:rPr>
        <w:lastRenderedPageBreak/>
        <w:t>Stewardship</w:t>
      </w:r>
      <w:r w:rsidRPr="0008715F">
        <w:t xml:space="preserve"> - The plan exercises prudence in managing university resources, diversifies revenue streams to promote resilience, maintains appropriate reserves and rewards efficiency and effectiveness.</w:t>
      </w:r>
    </w:p>
    <w:p w14:paraId="3EDE5157" w14:textId="77777777" w:rsidR="003856EE" w:rsidRPr="0008715F" w:rsidRDefault="00D518E8" w:rsidP="003856EE">
      <w:r w:rsidRPr="0008715F">
        <w:t>Tightly woven into our ARPP are UB’s four strategic goals that will help us achieve our vision of advancing into the nation's top 25 public research universities.</w:t>
      </w:r>
    </w:p>
    <w:p w14:paraId="71E35324" w14:textId="77777777" w:rsidR="003856EE" w:rsidRPr="0008715F" w:rsidRDefault="00D518E8" w:rsidP="003856EE">
      <w:pPr>
        <w:rPr>
          <w:b/>
          <w:color w:val="393939" w:themeColor="background2" w:themeShade="40"/>
          <w:sz w:val="28"/>
        </w:rPr>
      </w:pPr>
      <w:r w:rsidRPr="0008715F">
        <w:rPr>
          <w:b/>
          <w:color w:val="393939" w:themeColor="background2" w:themeShade="40"/>
          <w:sz w:val="28"/>
        </w:rPr>
        <w:t>Collaborative Approach</w:t>
      </w:r>
    </w:p>
    <w:p w14:paraId="38F9726E" w14:textId="77777777" w:rsidR="003856EE" w:rsidRPr="0008715F" w:rsidRDefault="00D518E8" w:rsidP="003856EE">
      <w:r w:rsidRPr="0008715F">
        <w:t>During the ARPP, UB’s Provost and the Division of Finance and Administration collaborate closely with units to plan for future years. The process encompasses the review of many different factors including enrollment, tuition revenue, staffing, research expenditures and proposals, endowments, unit spending plans, capital/space, risks and contingencies, and investment proposals. The budget planning process looks at funding priorities through these lenses:</w:t>
      </w:r>
    </w:p>
    <w:p w14:paraId="54A7C498" w14:textId="77777777" w:rsidR="003856EE" w:rsidRPr="0008715F" w:rsidRDefault="00D518E8" w:rsidP="003856EE">
      <w:pPr>
        <w:pStyle w:val="bulletub"/>
      </w:pPr>
      <w:r w:rsidRPr="0008715F">
        <w:t>Comprehensive asset/liability management</w:t>
      </w:r>
    </w:p>
    <w:p w14:paraId="432DE4DE" w14:textId="77777777" w:rsidR="003856EE" w:rsidRPr="0008715F" w:rsidRDefault="00D518E8" w:rsidP="003856EE">
      <w:pPr>
        <w:pStyle w:val="bulletub"/>
      </w:pPr>
      <w:r w:rsidRPr="0008715F">
        <w:t>Integrated, single-institutional point of view</w:t>
      </w:r>
    </w:p>
    <w:p w14:paraId="52B1F6D5" w14:textId="77777777" w:rsidR="003856EE" w:rsidRPr="0008715F" w:rsidRDefault="00D518E8" w:rsidP="003856EE">
      <w:pPr>
        <w:pStyle w:val="bulletub"/>
      </w:pPr>
      <w:r w:rsidRPr="0008715F">
        <w:t>Long-term in nature</w:t>
      </w:r>
    </w:p>
    <w:p w14:paraId="10572F96" w14:textId="77777777" w:rsidR="003856EE" w:rsidRPr="0008715F" w:rsidRDefault="00D518E8" w:rsidP="003856EE">
      <w:pPr>
        <w:pStyle w:val="bulletub"/>
      </w:pPr>
      <w:r w:rsidRPr="0008715F">
        <w:t>Analyze returns on investments!</w:t>
      </w:r>
    </w:p>
    <w:p w14:paraId="7BC937AC" w14:textId="77777777" w:rsidR="003856EE" w:rsidRPr="0008715F" w:rsidRDefault="00D518E8" w:rsidP="003856EE">
      <w:pPr>
        <w:pStyle w:val="bulletub"/>
      </w:pPr>
      <w:r w:rsidRPr="0008715F">
        <w:t>Proactive</w:t>
      </w:r>
    </w:p>
    <w:p w14:paraId="7169CBCD" w14:textId="77777777" w:rsidR="003856EE" w:rsidRPr="0008715F" w:rsidRDefault="00D518E8" w:rsidP="003856EE">
      <w:pPr>
        <w:pStyle w:val="bulletub"/>
      </w:pPr>
      <w:r w:rsidRPr="0008715F">
        <w:t>Dynamic and scenario-based</w:t>
      </w:r>
    </w:p>
    <w:p w14:paraId="02BC5D4E" w14:textId="77777777" w:rsidR="003856EE" w:rsidRPr="0008715F" w:rsidRDefault="00D518E8" w:rsidP="003856EE">
      <w:pPr>
        <w:pStyle w:val="bulletub"/>
      </w:pPr>
      <w:r w:rsidRPr="0008715F">
        <w:t>Transparency</w:t>
      </w:r>
    </w:p>
    <w:p w14:paraId="0F54271F" w14:textId="77777777" w:rsidR="003856EE" w:rsidRPr="0008715F" w:rsidRDefault="00D518E8" w:rsidP="003856EE">
      <w:r w:rsidRPr="0008715F">
        <w:t>Also, during the ARPP, the Division of Finance and Administration’s Resource Planning team collaborates with UB’s Division of Student Life to set student fees for specific services and ensure that the university is accommodating their needs. The outcomes of the ARPP are submitted to SUNY for approval before implementation.</w:t>
      </w:r>
    </w:p>
    <w:p w14:paraId="2A6D8311" w14:textId="77777777" w:rsidR="003856EE" w:rsidRPr="0008715F" w:rsidRDefault="00D518E8" w:rsidP="003856EE">
      <w:pPr>
        <w:rPr>
          <w:b/>
          <w:color w:val="393939" w:themeColor="background2" w:themeShade="40"/>
          <w:sz w:val="28"/>
        </w:rPr>
      </w:pPr>
      <w:r w:rsidRPr="0008715F">
        <w:rPr>
          <w:b/>
          <w:color w:val="393939" w:themeColor="background2" w:themeShade="40"/>
          <w:sz w:val="28"/>
        </w:rPr>
        <w:t>Planning Phases</w:t>
      </w:r>
    </w:p>
    <w:p w14:paraId="4649F380" w14:textId="77777777" w:rsidR="003856EE" w:rsidRPr="0008715F" w:rsidRDefault="00D518E8" w:rsidP="003856EE">
      <w:r w:rsidRPr="0008715F">
        <w:t>The ARPP consists of three phases:</w:t>
      </w:r>
    </w:p>
    <w:p w14:paraId="1E0F448D" w14:textId="77777777" w:rsidR="003856EE" w:rsidRPr="0008715F" w:rsidRDefault="00D518E8" w:rsidP="003B5D4A">
      <w:pPr>
        <w:pStyle w:val="ListParagraph"/>
        <w:numPr>
          <w:ilvl w:val="0"/>
          <w:numId w:val="19"/>
        </w:numPr>
        <w:spacing w:after="120"/>
      </w:pPr>
      <w:r w:rsidRPr="0008715F">
        <w:rPr>
          <w:b/>
        </w:rPr>
        <w:t>Phase 1</w:t>
      </w:r>
      <w:r w:rsidRPr="0008715F">
        <w:t xml:space="preserve"> (September – January): Three-Year Plan information collection</w:t>
      </w:r>
      <w:r>
        <w:t xml:space="preserve"> through UPlan</w:t>
      </w:r>
    </w:p>
    <w:p w14:paraId="4AC5A0E6" w14:textId="77777777" w:rsidR="003856EE" w:rsidRPr="0008715F" w:rsidRDefault="00D518E8" w:rsidP="003856EE">
      <w:pPr>
        <w:pStyle w:val="bulletub"/>
      </w:pPr>
      <w:r w:rsidRPr="0008715F">
        <w:t>Key Outcome: Communicate guidance to VP/Deans and unit business officers based on the university’s financial position to assist units in providing their input and needs through the Three-Year Plan workbook.</w:t>
      </w:r>
    </w:p>
    <w:p w14:paraId="1ABA82EE" w14:textId="77777777" w:rsidR="003856EE" w:rsidRPr="0008715F" w:rsidRDefault="00D518E8" w:rsidP="003B5D4A">
      <w:pPr>
        <w:pStyle w:val="ListParagraph"/>
        <w:numPr>
          <w:ilvl w:val="0"/>
          <w:numId w:val="19"/>
        </w:numPr>
      </w:pPr>
      <w:r w:rsidRPr="0008715F">
        <w:rPr>
          <w:b/>
        </w:rPr>
        <w:lastRenderedPageBreak/>
        <w:t>Phase 2</w:t>
      </w:r>
      <w:r w:rsidRPr="0008715F">
        <w:t xml:space="preserve"> (January-March): Analysis, Discussion &amp; Decision-Making </w:t>
      </w:r>
    </w:p>
    <w:p w14:paraId="003DA31B" w14:textId="77777777" w:rsidR="003856EE" w:rsidRPr="0008715F" w:rsidRDefault="00D518E8" w:rsidP="003856EE">
      <w:pPr>
        <w:pStyle w:val="bulletub"/>
      </w:pPr>
      <w:r w:rsidRPr="0008715F">
        <w:t>Key Outcome: VP/Deans present the unit’s position to senior leadership to gain a shared understanding of needs and to inform resource planning decisions.</w:t>
      </w:r>
    </w:p>
    <w:p w14:paraId="57A6F097" w14:textId="77777777" w:rsidR="003856EE" w:rsidRPr="0008715F" w:rsidRDefault="00D518E8" w:rsidP="003B5D4A">
      <w:pPr>
        <w:numPr>
          <w:ilvl w:val="0"/>
          <w:numId w:val="19"/>
        </w:numPr>
      </w:pPr>
      <w:r w:rsidRPr="0008715F">
        <w:rPr>
          <w:b/>
        </w:rPr>
        <w:t xml:space="preserve">Phase 3 </w:t>
      </w:r>
      <w:r w:rsidRPr="0008715F">
        <w:rPr>
          <w:bCs/>
        </w:rPr>
        <w:t>(</w:t>
      </w:r>
      <w:r>
        <w:rPr>
          <w:bCs/>
        </w:rPr>
        <w:t>March</w:t>
      </w:r>
      <w:r w:rsidRPr="0008715F">
        <w:rPr>
          <w:bCs/>
        </w:rPr>
        <w:t>-</w:t>
      </w:r>
      <w:r>
        <w:rPr>
          <w:bCs/>
        </w:rPr>
        <w:t>July</w:t>
      </w:r>
      <w:r w:rsidRPr="0008715F">
        <w:rPr>
          <w:bCs/>
        </w:rPr>
        <w:t>):</w:t>
      </w:r>
      <w:r w:rsidRPr="0008715F">
        <w:t xml:space="preserve"> Closure of Annual Resource Planning Process </w:t>
      </w:r>
    </w:p>
    <w:p w14:paraId="3A68AA06" w14:textId="77777777" w:rsidR="003856EE" w:rsidRPr="0008715F" w:rsidRDefault="00D518E8" w:rsidP="003856EE">
      <w:pPr>
        <w:pStyle w:val="bulletub"/>
      </w:pPr>
      <w:r w:rsidRPr="0008715F">
        <w:t>Key Outcome: Communicate unit expectations and outcomes to VP/Deans to finalize Three-Year Plans and implement resource planning decisions.</w:t>
      </w:r>
    </w:p>
    <w:p w14:paraId="5C4F6FE2" w14:textId="77777777" w:rsidR="003856EE" w:rsidRPr="0008715F" w:rsidRDefault="00D518E8" w:rsidP="003856EE">
      <w:r w:rsidRPr="0008715F">
        <w:t>The Division of Finance and Administration loads new fiscal year budgets into the financial system for July 1 implementation.</w:t>
      </w:r>
    </w:p>
    <w:p w14:paraId="6E842AC8" w14:textId="77777777" w:rsidR="003856EE" w:rsidRPr="00317643" w:rsidRDefault="00D518E8" w:rsidP="003B5D4A">
      <w:pPr>
        <w:pStyle w:val="ListParagraph"/>
        <w:keepNext/>
        <w:keepLines/>
        <w:numPr>
          <w:ilvl w:val="0"/>
          <w:numId w:val="21"/>
        </w:numPr>
        <w:outlineLvl w:val="1"/>
        <w:rPr>
          <w:rFonts w:eastAsiaTheme="majorEastAsia" w:cstheme="majorBidi"/>
          <w:i/>
          <w:color w:val="990000"/>
          <w:sz w:val="32"/>
          <w:szCs w:val="36"/>
        </w:rPr>
      </w:pPr>
      <w:bookmarkStart w:id="13" w:name="_Toc236305178"/>
      <w:r w:rsidRPr="00317643">
        <w:rPr>
          <w:rFonts w:eastAsiaTheme="majorEastAsia" w:cstheme="majorBidi"/>
          <w:color w:val="990000"/>
          <w:sz w:val="32"/>
          <w:szCs w:val="36"/>
        </w:rPr>
        <w:t>Financial Capacity</w:t>
      </w:r>
      <w:bookmarkEnd w:id="13"/>
    </w:p>
    <w:p w14:paraId="5F6A3A42" w14:textId="77777777" w:rsidR="003856EE" w:rsidRPr="00447917" w:rsidRDefault="00D518E8" w:rsidP="003856EE">
      <w:r w:rsidRPr="00317643">
        <w:t>UB’s financial health is a result of thoughtful planning and committed financial stewardship. It is this foundation that allows us to maintain a long-term strategic plan and to manage through periods of volatil</w:t>
      </w:r>
      <w:r w:rsidRPr="00261F45">
        <w:t xml:space="preserve">ity. </w:t>
      </w:r>
      <w:r w:rsidRPr="00447917">
        <w:t xml:space="preserve">For </w:t>
      </w:r>
      <w:sdt>
        <w:sdtPr>
          <w:alias w:val="CurrentYear XXXX/XX"/>
          <w:tag w:val="&lt;ReportPackage&gt;&lt;Variable id=&quot;cf41f8de-15d3-4fdf-993b-adb992bbaf9e&quot; usageType=&quot;Value&quot; /&gt;&lt;/ReportPackage&gt;"/>
          <w:id w:val="2024127919"/>
          <w:placeholder>
            <w:docPart w:val="A223FC39C7714D5797C1A3E843FFF939"/>
          </w:placeholder>
          <w:text/>
        </w:sdtPr>
        <w:sdtEndPr/>
        <w:sdtContent>
          <w:r w:rsidRPr="00447917">
            <w:t>2026/27</w:t>
          </w:r>
        </w:sdtContent>
      </w:sdt>
      <w:r w:rsidRPr="00447917">
        <w:t>, some important factors influenced our beginning fund balances:</w:t>
      </w:r>
    </w:p>
    <w:p w14:paraId="0949DCB5" w14:textId="77777777" w:rsidR="003856EE" w:rsidRPr="00447917" w:rsidRDefault="00D518E8" w:rsidP="003B5D4A">
      <w:pPr>
        <w:numPr>
          <w:ilvl w:val="0"/>
          <w:numId w:val="20"/>
        </w:numPr>
        <w:contextualSpacing/>
      </w:pPr>
      <w:r w:rsidRPr="00447917">
        <w:t>Our five-year rolling financial planning process anticipates and considers major economic opportunities and challenges.</w:t>
      </w:r>
    </w:p>
    <w:p w14:paraId="71A4C05A" w14:textId="77777777" w:rsidR="003856EE" w:rsidRPr="00447917" w:rsidRDefault="00D518E8" w:rsidP="003B5D4A">
      <w:pPr>
        <w:numPr>
          <w:ilvl w:val="0"/>
          <w:numId w:val="20"/>
        </w:numPr>
        <w:contextualSpacing/>
      </w:pPr>
      <w:r w:rsidRPr="00447917">
        <w:t>Our multi-year planning effort for addressing unfunded negotiated salary increases means that decanal and divisional units have plans to absorb these costs in the short term.</w:t>
      </w:r>
    </w:p>
    <w:p w14:paraId="58742A2A" w14:textId="77777777" w:rsidR="003856EE" w:rsidRPr="00447917" w:rsidRDefault="00D518E8" w:rsidP="003B5D4A">
      <w:pPr>
        <w:numPr>
          <w:ilvl w:val="0"/>
          <w:numId w:val="20"/>
        </w:numPr>
        <w:contextualSpacing/>
      </w:pPr>
      <w:r w:rsidRPr="00447917">
        <w:t xml:space="preserve">We continue to maintain contingency reserves which helps create confidence that we can maintain our strategic focus and meet our long-term goals. </w:t>
      </w:r>
    </w:p>
    <w:p w14:paraId="7B8275A1" w14:textId="77777777" w:rsidR="003856EE" w:rsidRPr="00447917" w:rsidRDefault="003856EE" w:rsidP="003856EE">
      <w:pPr>
        <w:ind w:left="1080"/>
        <w:contextualSpacing/>
      </w:pPr>
    </w:p>
    <w:p w14:paraId="56E7A2AA" w14:textId="77777777" w:rsidR="003856EE" w:rsidRPr="00447917" w:rsidRDefault="00D518E8" w:rsidP="003856EE">
      <w:r w:rsidRPr="00447917">
        <w:t xml:space="preserve">The graph below represents projected centrally managed Internal Financial Plan (IFP) balances in millions over the next five years. Beginning IFP balances are strategic reserves set aside to fund investments committed through the ARPP. </w:t>
      </w:r>
    </w:p>
    <w:p w14:paraId="0F58334B" w14:textId="77777777" w:rsidR="003856EE" w:rsidRPr="00447917" w:rsidRDefault="00D518E8" w:rsidP="003856EE">
      <w:r w:rsidRPr="00447917">
        <w:br/>
        <w:t xml:space="preserve">The graph excludes the university’s $40 million emergency reserve intended to manage unforeseen events and can only be </w:t>
      </w:r>
      <w:r w:rsidRPr="00447917">
        <w:rPr>
          <w:rFonts w:cs="Times New Roman"/>
        </w:rPr>
        <w:t xml:space="preserve">used if the President, Provost, and Vice President for Finance &amp; Administration agree it is necessary. </w:t>
      </w:r>
    </w:p>
    <w:p w14:paraId="45B48E6D" w14:textId="77777777" w:rsidR="00197A16" w:rsidRDefault="00D518E8" w:rsidP="00197A16">
      <w:pPr>
        <w:spacing w:before="0" w:after="160"/>
        <w:ind w:left="720"/>
        <w:rPr>
          <w:highlight w:val="yellow"/>
        </w:rPr>
      </w:pPr>
      <w:r>
        <w:rPr>
          <w:noProof/>
        </w:rPr>
        <w:lastRenderedPageBreak/>
        <mc:AlternateContent>
          <mc:Choice Requires="cx1">
            <w:drawing>
              <wp:inline distT="0" distB="0" distL="0" distR="0" wp14:anchorId="0E50B47B" wp14:editId="49288C4E">
                <wp:extent cx="5943600" cy="2648585"/>
                <wp:effectExtent l="0" t="0" r="0" b="18415"/>
                <wp:docPr id="805031413" name="Chart 1" descr="F2A4E6A5-86EA-4413-90D6-619423C4A8DF|3|Oracle.SmartView.EPRCS|{e69ae0f6-036b-4d5f-a981-daa08ece0cbb}">
                  <a:extLst xmlns:a="http://schemas.openxmlformats.org/drawingml/2006/main">
                    <a:ext uri="{FF2B5EF4-FFF2-40B4-BE49-F238E27FC236}">
                      <a16:creationId xmlns:a16="http://schemas.microsoft.com/office/drawing/2014/main" id="{91D3505C-C7D2-192E-C2BC-927B6FC14E0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9"/>
                  </a:graphicData>
                </a:graphic>
              </wp:inline>
            </w:drawing>
          </mc:Choice>
          <mc:Fallback>
            <w:drawing>
              <wp:inline distT="0" distB="0" distL="0" distR="0">
                <wp:extent cx="5943600" cy="2667000"/>
                <wp:effectExtent l="0" t="0" r="0" b="12700"/>
                <wp:docPr id="528654680"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54680" name="Chart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5943600" cy="2667000"/>
                        </a:xfrm>
                        <a:prstGeom prst="rect">
                          <a:avLst/>
                        </a:prstGeom>
                        <a:noFill/>
                        <a:ln>
                          <a:noFill/>
                        </a:ln>
                      </pic:spPr>
                    </pic:pic>
                  </a:graphicData>
                </a:graphic>
              </wp:inline>
            </w:drawing>
          </mc:Fallback>
        </mc:AlternateContent>
      </w:r>
    </w:p>
    <w:p w14:paraId="3AC8BEB2" w14:textId="77777777" w:rsidR="003856EE" w:rsidRPr="00447917" w:rsidRDefault="00D518E8" w:rsidP="00197A16">
      <w:pPr>
        <w:spacing w:before="0" w:after="160"/>
        <w:ind w:left="720"/>
      </w:pPr>
      <w:r w:rsidRPr="00447917">
        <w:t xml:space="preserve">The overall decline </w:t>
      </w:r>
      <w:r w:rsidR="00447917" w:rsidRPr="00447917">
        <w:t xml:space="preserve">in the first two years </w:t>
      </w:r>
      <w:r w:rsidRPr="00447917">
        <w:t>reflects commitments made during the 202</w:t>
      </w:r>
      <w:r w:rsidR="00447917" w:rsidRPr="00447917">
        <w:t>6</w:t>
      </w:r>
      <w:r w:rsidRPr="00447917">
        <w:t>/2</w:t>
      </w:r>
      <w:r w:rsidR="00447917" w:rsidRPr="00447917">
        <w:t>7</w:t>
      </w:r>
      <w:r w:rsidRPr="00447917">
        <w:t xml:space="preserve"> ARPP as well as ongoing investments from prior ARPP cycles. </w:t>
      </w:r>
      <w:r w:rsidR="00447917">
        <w:t xml:space="preserve">Balance begin to grow beyond three year as the number of existing commitments decrease. </w:t>
      </w:r>
      <w:r w:rsidRPr="00447917">
        <w:t>In addition to investments made this scenario also makes the following major assumptions:</w:t>
      </w:r>
    </w:p>
    <w:p w14:paraId="42487700" w14:textId="77777777" w:rsidR="003856EE" w:rsidRPr="00447917" w:rsidRDefault="00D518E8" w:rsidP="003B5D4A">
      <w:pPr>
        <w:pStyle w:val="ListParagraph"/>
        <w:numPr>
          <w:ilvl w:val="0"/>
          <w:numId w:val="22"/>
        </w:numPr>
      </w:pPr>
      <w:r w:rsidRPr="00447917">
        <w:t>Tuition revenue increases back to 2024/25 levels with increases to non-resident tuition rates and continued growth of resident undergraduate enrollment, while international enrollment continues to decline.</w:t>
      </w:r>
    </w:p>
    <w:p w14:paraId="710A07A6" w14:textId="77777777" w:rsidR="003856EE" w:rsidRPr="00447917" w:rsidRDefault="00D518E8" w:rsidP="003B5D4A">
      <w:pPr>
        <w:pStyle w:val="ListParagraph"/>
        <w:numPr>
          <w:ilvl w:val="0"/>
          <w:numId w:val="22"/>
        </w:numPr>
      </w:pPr>
      <w:r w:rsidRPr="00447917">
        <w:t xml:space="preserve">Indirect revenue drops by </w:t>
      </w:r>
      <w:r w:rsidR="00447917" w:rsidRPr="00447917">
        <w:t>approximately $5M in 2026/27 with modest growth in the out years.</w:t>
      </w:r>
    </w:p>
    <w:p w14:paraId="28D4648A" w14:textId="77777777" w:rsidR="003856EE" w:rsidRPr="00447917" w:rsidRDefault="00D518E8" w:rsidP="003B5D4A">
      <w:pPr>
        <w:pStyle w:val="ListParagraph"/>
        <w:numPr>
          <w:ilvl w:val="0"/>
          <w:numId w:val="22"/>
        </w:numPr>
      </w:pPr>
      <w:r w:rsidRPr="00447917">
        <w:t>Other major revenue sources remain relatively flat</w:t>
      </w:r>
    </w:p>
    <w:p w14:paraId="7721D813" w14:textId="77777777" w:rsidR="003856EE" w:rsidRPr="00447917" w:rsidRDefault="00D518E8" w:rsidP="003856EE">
      <w:pPr>
        <w:spacing w:before="0" w:after="160"/>
        <w:ind w:left="720"/>
      </w:pPr>
      <w:r w:rsidRPr="00447917">
        <w:t xml:space="preserve">This </w:t>
      </w:r>
      <w:r w:rsidR="00447917" w:rsidRPr="00447917">
        <w:t xml:space="preserve">modeling </w:t>
      </w:r>
      <w:r w:rsidRPr="00447917">
        <w:t xml:space="preserve">helps to illustrate </w:t>
      </w:r>
      <w:r w:rsidR="00447917" w:rsidRPr="00447917">
        <w:t>a likely potential scenario</w:t>
      </w:r>
      <w:r w:rsidRPr="00447917">
        <w:t xml:space="preserve"> UB may face as it relates to some major sources of revenue in the short-term but is just one of many planning scenarios utilized to help inform decisions to best align with strategic priorities and financial capacity throughout the ARPP cycle.</w:t>
      </w:r>
    </w:p>
    <w:p w14:paraId="686B37DA" w14:textId="77777777" w:rsidR="003856EE" w:rsidRPr="008828C0" w:rsidRDefault="00D518E8" w:rsidP="003B5D4A">
      <w:pPr>
        <w:pStyle w:val="ListParagraph"/>
        <w:keepNext/>
        <w:keepLines/>
        <w:numPr>
          <w:ilvl w:val="0"/>
          <w:numId w:val="23"/>
        </w:numPr>
        <w:outlineLvl w:val="1"/>
        <w:rPr>
          <w:rFonts w:eastAsiaTheme="majorEastAsia" w:cstheme="majorBidi"/>
          <w:color w:val="990000"/>
          <w:sz w:val="32"/>
          <w:szCs w:val="36"/>
        </w:rPr>
      </w:pPr>
      <w:bookmarkStart w:id="14" w:name="_Toc236305179"/>
      <w:r w:rsidRPr="008828C0">
        <w:rPr>
          <w:rFonts w:eastAsiaTheme="majorEastAsia" w:cstheme="majorBidi"/>
          <w:color w:val="990000"/>
          <w:sz w:val="32"/>
          <w:szCs w:val="36"/>
        </w:rPr>
        <w:t>Investment Requests &amp; Funding</w:t>
      </w:r>
      <w:bookmarkEnd w:id="14"/>
    </w:p>
    <w:p w14:paraId="744A9636" w14:textId="77777777" w:rsidR="00DB2DD8" w:rsidRPr="008828C0" w:rsidRDefault="00D518E8" w:rsidP="003856EE">
      <w:pPr>
        <w:ind w:left="0"/>
      </w:pPr>
      <w:r w:rsidRPr="008828C0">
        <w:t>As an outcome of the</w:t>
      </w:r>
      <w:r w:rsidR="00957ABF" w:rsidRPr="008828C0">
        <w:t xml:space="preserve"> </w:t>
      </w:r>
      <w:sdt>
        <w:sdtPr>
          <w:alias w:val="CurrentYear XXXX/XXXX"/>
          <w:tag w:val="&lt;ReportPackage&gt;&lt;Variable id=&quot;75ef574e-6368-4639-bee0-3a88537f0c27&quot; usageType=&quot;Value&quot; /&gt;&lt;/ReportPackage&gt;"/>
          <w:id w:val="1322619196"/>
          <w:placeholder>
            <w:docPart w:val="623F10E032DB4AE7B6110F97A5385175"/>
          </w:placeholder>
          <w:text/>
        </w:sdtPr>
        <w:sdtEndPr/>
        <w:sdtContent>
          <w:r w:rsidR="00957ABF" w:rsidRPr="008828C0">
            <w:t>2026/2027</w:t>
          </w:r>
        </w:sdtContent>
      </w:sdt>
      <w:r w:rsidR="00957ABF" w:rsidRPr="008828C0">
        <w:t xml:space="preserve"> ARPP, commitments</w:t>
      </w:r>
      <w:r w:rsidRPr="008828C0">
        <w:t xml:space="preserve"> of</w:t>
      </w:r>
      <w:r w:rsidR="00957ABF" w:rsidRPr="008828C0">
        <w:t xml:space="preserve"> </w:t>
      </w:r>
      <w:r w:rsidRPr="008828C0">
        <w:rPr>
          <w:b/>
          <w:bCs/>
        </w:rPr>
        <w:t>$</w:t>
      </w:r>
      <w:r w:rsidR="00447917">
        <w:rPr>
          <w:b/>
          <w:bCs/>
        </w:rPr>
        <w:t>255</w:t>
      </w:r>
      <w:r w:rsidRPr="008828C0">
        <w:rPr>
          <w:b/>
          <w:bCs/>
        </w:rPr>
        <w:t xml:space="preserve"> million</w:t>
      </w:r>
      <w:r w:rsidRPr="008828C0">
        <w:t xml:space="preserve"> </w:t>
      </w:r>
      <w:r w:rsidRPr="008828C0">
        <w:rPr>
          <w:b/>
          <w:bCs/>
        </w:rPr>
        <w:t>over three years</w:t>
      </w:r>
      <w:r w:rsidRPr="008828C0">
        <w:t xml:space="preserve"> </w:t>
      </w:r>
      <w:r w:rsidR="00957ABF" w:rsidRPr="008828C0">
        <w:t xml:space="preserve">were made </w:t>
      </w:r>
      <w:r w:rsidRPr="008828C0">
        <w:t>to support a variety of university initiatives.</w:t>
      </w:r>
      <w:r w:rsidR="00957ABF" w:rsidRPr="008828C0">
        <w:t xml:space="preserve"> </w:t>
      </w:r>
      <w:r w:rsidRPr="008828C0">
        <w:t>These commitments</w:t>
      </w:r>
      <w:r w:rsidR="00957ABF" w:rsidRPr="008828C0">
        <w:t xml:space="preserve"> </w:t>
      </w:r>
      <w:r w:rsidR="00447917" w:rsidRPr="008828C0">
        <w:t>include</w:t>
      </w:r>
      <w:r w:rsidR="00957ABF" w:rsidRPr="008828C0">
        <w:t xml:space="preserve"> </w:t>
      </w:r>
      <w:r w:rsidR="00957ABF" w:rsidRPr="008828C0">
        <w:rPr>
          <w:b/>
          <w:bCs/>
        </w:rPr>
        <w:t>$</w:t>
      </w:r>
      <w:r w:rsidRPr="008828C0">
        <w:rPr>
          <w:b/>
          <w:bCs/>
        </w:rPr>
        <w:t>37</w:t>
      </w:r>
      <w:r w:rsidR="00957ABF" w:rsidRPr="008828C0">
        <w:rPr>
          <w:b/>
          <w:bCs/>
        </w:rPr>
        <w:t>M in recurring</w:t>
      </w:r>
      <w:r w:rsidR="00957ABF" w:rsidRPr="008828C0">
        <w:t xml:space="preserve"> </w:t>
      </w:r>
      <w:r w:rsidRPr="008828C0">
        <w:t>funds and</w:t>
      </w:r>
      <w:r w:rsidR="00957ABF" w:rsidRPr="008828C0">
        <w:t xml:space="preserve"> </w:t>
      </w:r>
      <w:r w:rsidR="00957ABF" w:rsidRPr="008828C0">
        <w:rPr>
          <w:b/>
          <w:bCs/>
        </w:rPr>
        <w:t>$</w:t>
      </w:r>
      <w:r w:rsidRPr="008828C0">
        <w:rPr>
          <w:b/>
          <w:bCs/>
        </w:rPr>
        <w:t>1</w:t>
      </w:r>
      <w:r w:rsidR="00957ABF" w:rsidRPr="008828C0">
        <w:rPr>
          <w:b/>
          <w:bCs/>
        </w:rPr>
        <w:t>4</w:t>
      </w:r>
      <w:r w:rsidRPr="008828C0">
        <w:rPr>
          <w:b/>
          <w:bCs/>
        </w:rPr>
        <w:t>3</w:t>
      </w:r>
      <w:r w:rsidR="00957ABF" w:rsidRPr="008828C0">
        <w:rPr>
          <w:b/>
          <w:bCs/>
        </w:rPr>
        <w:t>M in non-recurring</w:t>
      </w:r>
      <w:r w:rsidR="00957ABF" w:rsidRPr="008828C0">
        <w:t xml:space="preserve"> funds.</w:t>
      </w:r>
      <w:r w:rsidR="00447917">
        <w:t xml:space="preserve"> The recurring amount is added for each of the three years for a three-year total of $255 million.</w:t>
      </w:r>
    </w:p>
    <w:p w14:paraId="6C7184A9" w14:textId="77777777" w:rsidR="003856EE" w:rsidRPr="008828C0" w:rsidRDefault="00D518E8" w:rsidP="003856EE">
      <w:pPr>
        <w:ind w:left="0"/>
      </w:pPr>
      <w:r w:rsidRPr="008828C0">
        <w:lastRenderedPageBreak/>
        <w:t xml:space="preserve">The graph below </w:t>
      </w:r>
      <w:r w:rsidR="00447917">
        <w:t>provides a breakdown</w:t>
      </w:r>
      <w:r w:rsidR="00DB2DD8" w:rsidRPr="008828C0">
        <w:t xml:space="preserve"> of all commitments made during the </w:t>
      </w:r>
      <w:sdt>
        <w:sdtPr>
          <w:alias w:val="CurrentYear XXXX/XXXX"/>
          <w:tag w:val="&lt;ReportPackage&gt;&lt;Variable id=&quot;75ef574e-6368-4639-bee0-3a88537f0c27&quot; usageType=&quot;Value&quot; /&gt;&lt;/ReportPackage&gt;"/>
          <w:id w:val="358553732"/>
          <w:placeholder>
            <w:docPart w:val="31C3DD9C3A994677B938B0918D2D9943"/>
          </w:placeholder>
          <w:text/>
        </w:sdtPr>
        <w:sdtEndPr/>
        <w:sdtContent>
          <w:r w:rsidR="00DB2DD8" w:rsidRPr="008828C0">
            <w:t>2026/2027</w:t>
          </w:r>
        </w:sdtContent>
      </w:sdt>
      <w:r w:rsidR="00DB2DD8" w:rsidRPr="008828C0">
        <w:t xml:space="preserve"> ARPP </w:t>
      </w:r>
      <w:r w:rsidR="008828C0" w:rsidRPr="008828C0">
        <w:t xml:space="preserve">by </w:t>
      </w:r>
      <w:r w:rsidRPr="008828C0">
        <w:t xml:space="preserve">priority. </w:t>
      </w:r>
    </w:p>
    <w:p w14:paraId="59FB28BA" w14:textId="77777777" w:rsidR="003856EE" w:rsidRPr="008828C0" w:rsidRDefault="00D518E8" w:rsidP="00293885">
      <w:pPr>
        <w:spacing w:before="0" w:after="160"/>
        <w:ind w:left="0"/>
        <w:rPr>
          <w:b/>
          <w:color w:val="393939" w:themeColor="background2" w:themeShade="40"/>
          <w:sz w:val="28"/>
        </w:rPr>
      </w:pPr>
      <w:r>
        <w:rPr>
          <w:noProof/>
        </w:rPr>
        <mc:AlternateContent>
          <mc:Choice Requires="cx1">
            <w:drawing>
              <wp:inline distT="0" distB="0" distL="0" distR="0" wp14:anchorId="339B59F6" wp14:editId="69D71319">
                <wp:extent cx="5975350" cy="3746500"/>
                <wp:effectExtent l="0" t="0" r="6350" b="6350"/>
                <wp:docPr id="780765971" name="Chart 1" descr="F2A4E6A5-86EA-4413-90D6-619423C4A8DF|3|Oracle.SmartView.EPRCS|{eecc4d7f-1a71-4385-abf4-1d62a2cc50e6}">
                  <a:extLst xmlns:a="http://schemas.openxmlformats.org/drawingml/2006/main">
                    <a:ext uri="{FF2B5EF4-FFF2-40B4-BE49-F238E27FC236}">
                      <a16:creationId xmlns:a16="http://schemas.microsoft.com/office/drawing/2014/main" id="{5E81750C-D03D-5E90-498E-E273083135A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2"/>
                  </a:graphicData>
                </a:graphic>
              </wp:inline>
            </w:drawing>
          </mc:Choice>
          <mc:Fallback>
            <w:drawing>
              <wp:inline distT="0" distB="0" distL="0" distR="0">
                <wp:extent cx="5975350" cy="3746500"/>
                <wp:effectExtent l="0" t="0" r="6350" b="6350"/>
                <wp:docPr id="1655884556" name="Chart 1" descr="F2A4E6A5-86EA-4413-90D6-619423C4A8DF|3|Oracle.SmartView.EPRCS|{eecc4d7f-1a71-4385-abf4-1d62a2cc50e6}">
                  <a:extLst xmlns:a="http://schemas.openxmlformats.org/drawingml/2006/main">
                    <a:ext xmlns:a="http://schemas.openxmlformats.org/drawingml/2006/main" uri="{FF2B5EF4-FFF2-40B4-BE49-F238E27FC236}">
                      <a16:creationId xmlns:a16="http://schemas.microsoft.com/office/drawing/2014/main" id="{5E81750C-D03D-5E90-498E-E273083135AD}"/>
                    </a:ext>
                  </a:extLst>
                </wp:docPr>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1655884556" name="Chart 1" descr="F2A4E6A5-86EA-4413-90D6-619423C4A8DF|3|Oracle.SmartView.EPRCS|{eecc4d7f-1a71-4385-abf4-1d62a2cc50e6}">
                          <a:extLst>
                            <a:ext xmlns:a="http://schemas.openxmlformats.org/drawingml/2006/main" uri="{FF2B5EF4-FFF2-40B4-BE49-F238E27FC236}">
                              <a16:creationId xmlns:a16="http://schemas.microsoft.com/office/drawing/2014/main" id="{5E81750C-D03D-5E90-498E-E273083135AD}"/>
                            </a:ext>
                          </a:extLst>
                        </pic:cNvPr>
                        <pic:cNvPicPr>
                          <a:picLocks noGrp="1" noRot="1" noChangeAspect="1" noMove="1" noResize="1" noEditPoints="1" noAdjustHandles="1" noChangeArrowheads="1" noChangeShapeType="1"/>
                        </pic:cNvPicPr>
                      </pic:nvPicPr>
                      <pic:blipFill>
                        <a:blip xmlns:r="http://schemas.openxmlformats.org/officeDocument/2006/relationships" r:embed="rId23"/>
                        <a:stretch>
                          <a:fillRect/>
                        </a:stretch>
                      </pic:blipFill>
                      <pic:spPr>
                        <a:xfrm>
                          <a:off x="0" y="0"/>
                          <a:ext cx="5975350" cy="3746500"/>
                        </a:xfrm>
                        <a:prstGeom prst="rect">
                          <a:avLst/>
                        </a:prstGeom>
                      </pic:spPr>
                    </pic:pic>
                  </a:graphicData>
                </a:graphic>
              </wp:inline>
            </w:drawing>
          </mc:Fallback>
        </mc:AlternateContent>
      </w:r>
      <w:r w:rsidR="00EA6F48">
        <w:rPr>
          <w:b/>
          <w:color w:val="393939" w:themeColor="background2" w:themeShade="40"/>
          <w:sz w:val="28"/>
        </w:rPr>
        <w:br w:type="page"/>
      </w:r>
      <w:r w:rsidR="003266E6" w:rsidRPr="008828C0">
        <w:rPr>
          <w:b/>
          <w:color w:val="393939" w:themeColor="background2" w:themeShade="40"/>
          <w:sz w:val="28"/>
        </w:rPr>
        <w:lastRenderedPageBreak/>
        <w:t>Investment Priorities</w:t>
      </w:r>
    </w:p>
    <w:p w14:paraId="13563F9D" w14:textId="77777777" w:rsidR="003856EE" w:rsidRPr="009A5F81" w:rsidRDefault="00D518E8" w:rsidP="003856EE">
      <w:pPr>
        <w:keepNext/>
        <w:keepLines/>
        <w:spacing w:after="120"/>
        <w:ind w:left="720"/>
        <w:outlineLvl w:val="4"/>
        <w:rPr>
          <w:rFonts w:eastAsiaTheme="majorEastAsia" w:cstheme="majorBidi"/>
          <w:b/>
          <w:i/>
          <w:color w:val="002060"/>
          <w:highlight w:val="yellow"/>
        </w:rPr>
      </w:pPr>
      <w:r w:rsidRPr="008828C0">
        <w:rPr>
          <w:rFonts w:eastAsiaTheme="majorEastAsia" w:cstheme="majorBidi"/>
          <w:b/>
          <w:i/>
          <w:color w:val="002060"/>
        </w:rPr>
        <w:t xml:space="preserve">Building Exceptional Academic Programs </w:t>
      </w:r>
    </w:p>
    <w:p w14:paraId="6ED32DEB" w14:textId="77777777" w:rsidR="00E5107E" w:rsidRDefault="00D518E8" w:rsidP="00E5107E">
      <w:pPr>
        <w:ind w:left="0"/>
        <w:rPr>
          <w:rFonts w:eastAsiaTheme="majorEastAsia" w:cstheme="majorBidi"/>
          <w:b/>
          <w:i/>
          <w:color w:val="002060"/>
        </w:rPr>
      </w:pPr>
      <w:r>
        <w:rPr>
          <w:noProof/>
        </w:rPr>
        <w:drawing>
          <wp:inline distT="0" distB="0" distL="0" distR="0" wp14:anchorId="7B049306" wp14:editId="7989516D">
            <wp:extent cx="6086215" cy="2711395"/>
            <wp:effectExtent l="0" t="0" r="0" b="0"/>
            <wp:docPr id="1681857805" name="Picture 1" descr="F2A4E6A5-86EA-4413-90D6-619423C4A8DF|3|Oracle.SmartView.EPRCS|{4eb496cb-29c3-4293-ac1b-c169ed792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57805" name=""/>
                    <pic:cNvPicPr/>
                  </pic:nvPicPr>
                  <pic:blipFill>
                    <a:blip r:embed="rId24"/>
                    <a:stretch>
                      <a:fillRect/>
                    </a:stretch>
                  </pic:blipFill>
                  <pic:spPr>
                    <a:xfrm>
                      <a:off x="0" y="0"/>
                      <a:ext cx="6101035" cy="2717997"/>
                    </a:xfrm>
                    <a:prstGeom prst="rect">
                      <a:avLst/>
                    </a:prstGeom>
                  </pic:spPr>
                </pic:pic>
              </a:graphicData>
            </a:graphic>
          </wp:inline>
        </w:drawing>
      </w:r>
      <w:r>
        <w:rPr>
          <w:rFonts w:eastAsiaTheme="majorEastAsia" w:cstheme="majorBidi"/>
          <w:b/>
          <w:i/>
          <w:color w:val="002060"/>
        </w:rPr>
        <w:t xml:space="preserve">  </w:t>
      </w:r>
    </w:p>
    <w:p w14:paraId="36957FF1" w14:textId="77777777" w:rsidR="00FB1707" w:rsidRDefault="00FB1707" w:rsidP="00E5107E">
      <w:pPr>
        <w:ind w:left="720"/>
        <w:rPr>
          <w:rFonts w:eastAsiaTheme="majorEastAsia" w:cstheme="majorBidi"/>
          <w:b/>
          <w:i/>
          <w:color w:val="002060"/>
        </w:rPr>
      </w:pPr>
    </w:p>
    <w:p w14:paraId="205A05DD" w14:textId="77777777" w:rsidR="003856EE" w:rsidRDefault="00D518E8" w:rsidP="00E5107E">
      <w:pPr>
        <w:ind w:left="720"/>
        <w:rPr>
          <w:rFonts w:eastAsiaTheme="majorEastAsia" w:cstheme="majorBidi"/>
          <w:b/>
          <w:i/>
          <w:color w:val="002060"/>
        </w:rPr>
      </w:pPr>
      <w:r>
        <w:rPr>
          <w:rFonts w:eastAsiaTheme="majorEastAsia" w:cstheme="majorBidi"/>
          <w:b/>
          <w:i/>
          <w:color w:val="002060"/>
        </w:rPr>
        <w:t>E</w:t>
      </w:r>
      <w:r w:rsidRPr="00E5107E">
        <w:rPr>
          <w:rFonts w:eastAsiaTheme="majorEastAsia" w:cstheme="majorBidi"/>
          <w:b/>
          <w:i/>
          <w:color w:val="002060"/>
        </w:rPr>
        <w:t>nhancing the Campus Environment</w:t>
      </w:r>
    </w:p>
    <w:p w14:paraId="389FA370" w14:textId="77777777" w:rsidR="00E5107E" w:rsidRDefault="00D518E8" w:rsidP="00E5107E">
      <w:pPr>
        <w:ind w:left="0"/>
        <w:rPr>
          <w:rFonts w:eastAsiaTheme="majorEastAsia" w:cstheme="majorBidi"/>
          <w:b/>
          <w:i/>
          <w:color w:val="002060"/>
        </w:rPr>
      </w:pPr>
      <w:r>
        <w:rPr>
          <w:noProof/>
        </w:rPr>
        <w:drawing>
          <wp:inline distT="0" distB="0" distL="0" distR="0" wp14:anchorId="2405B35E" wp14:editId="09BEDEDD">
            <wp:extent cx="6090818" cy="2250219"/>
            <wp:effectExtent l="0" t="0" r="5715" b="0"/>
            <wp:docPr id="382005819" name="Picture 1" descr="F2A4E6A5-86EA-4413-90D6-619423C4A8DF|3|Oracle.SmartView.EPRCS|{9c8e48ff-324c-4def-babd-a6970a39d6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05819" name=""/>
                    <pic:cNvPicPr/>
                  </pic:nvPicPr>
                  <pic:blipFill>
                    <a:blip r:embed="rId25"/>
                    <a:stretch>
                      <a:fillRect/>
                    </a:stretch>
                  </pic:blipFill>
                  <pic:spPr>
                    <a:xfrm>
                      <a:off x="0" y="0"/>
                      <a:ext cx="6093233" cy="2251111"/>
                    </a:xfrm>
                    <a:prstGeom prst="rect">
                      <a:avLst/>
                    </a:prstGeom>
                  </pic:spPr>
                </pic:pic>
              </a:graphicData>
            </a:graphic>
          </wp:inline>
        </w:drawing>
      </w:r>
    </w:p>
    <w:p w14:paraId="5F4DC359" w14:textId="77777777" w:rsidR="00D35B4D" w:rsidRDefault="00D35B4D" w:rsidP="00E5107E">
      <w:pPr>
        <w:ind w:left="720"/>
        <w:rPr>
          <w:rFonts w:eastAsiaTheme="majorEastAsia" w:cstheme="majorBidi"/>
          <w:b/>
          <w:i/>
          <w:color w:val="002060"/>
        </w:rPr>
      </w:pPr>
    </w:p>
    <w:p w14:paraId="454C07FF" w14:textId="77777777" w:rsidR="00D35B4D" w:rsidRDefault="00D35B4D" w:rsidP="00E5107E">
      <w:pPr>
        <w:ind w:left="720"/>
        <w:rPr>
          <w:rFonts w:eastAsiaTheme="majorEastAsia" w:cstheme="majorBidi"/>
          <w:b/>
          <w:i/>
          <w:color w:val="002060"/>
        </w:rPr>
      </w:pPr>
    </w:p>
    <w:p w14:paraId="10DB933D" w14:textId="77777777" w:rsidR="00D35B4D" w:rsidRDefault="00D35B4D" w:rsidP="00E5107E">
      <w:pPr>
        <w:ind w:left="720"/>
        <w:rPr>
          <w:rFonts w:eastAsiaTheme="majorEastAsia" w:cstheme="majorBidi"/>
          <w:b/>
          <w:i/>
          <w:color w:val="002060"/>
        </w:rPr>
      </w:pPr>
    </w:p>
    <w:p w14:paraId="52AC3738" w14:textId="77777777" w:rsidR="00E5107E" w:rsidRDefault="00D518E8" w:rsidP="00E5107E">
      <w:pPr>
        <w:ind w:left="720"/>
        <w:rPr>
          <w:rFonts w:eastAsiaTheme="majorEastAsia" w:cstheme="majorBidi"/>
          <w:b/>
          <w:i/>
          <w:color w:val="002060"/>
        </w:rPr>
      </w:pPr>
      <w:r w:rsidRPr="00E5107E">
        <w:rPr>
          <w:rFonts w:eastAsiaTheme="majorEastAsia" w:cstheme="majorBidi"/>
          <w:b/>
          <w:i/>
          <w:color w:val="002060"/>
        </w:rPr>
        <w:lastRenderedPageBreak/>
        <w:t>Growing Faculty, Research and Recognition</w:t>
      </w:r>
    </w:p>
    <w:p w14:paraId="33CF31B1" w14:textId="77777777" w:rsidR="00E5107E" w:rsidRDefault="00D518E8" w:rsidP="00E5107E">
      <w:pPr>
        <w:ind w:left="0"/>
        <w:rPr>
          <w:rFonts w:eastAsiaTheme="majorEastAsia" w:cstheme="majorBidi"/>
          <w:b/>
          <w:i/>
          <w:color w:val="002060"/>
        </w:rPr>
      </w:pPr>
      <w:r>
        <w:rPr>
          <w:noProof/>
        </w:rPr>
        <w:drawing>
          <wp:inline distT="0" distB="0" distL="0" distR="0" wp14:anchorId="7A788339" wp14:editId="7C4F11B9">
            <wp:extent cx="6142807" cy="5430741"/>
            <wp:effectExtent l="0" t="0" r="0" b="0"/>
            <wp:docPr id="29370989" name="Picture 1" descr="F2A4E6A5-86EA-4413-90D6-619423C4A8DF|3|Oracle.SmartView.EPRCS|{f843330b-bafe-42e2-8d48-2497a8a01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0989" name=""/>
                    <pic:cNvPicPr/>
                  </pic:nvPicPr>
                  <pic:blipFill>
                    <a:blip r:embed="rId26"/>
                    <a:stretch>
                      <a:fillRect/>
                    </a:stretch>
                  </pic:blipFill>
                  <pic:spPr>
                    <a:xfrm>
                      <a:off x="0" y="0"/>
                      <a:ext cx="6148130" cy="5435447"/>
                    </a:xfrm>
                    <a:prstGeom prst="rect">
                      <a:avLst/>
                    </a:prstGeom>
                  </pic:spPr>
                </pic:pic>
              </a:graphicData>
            </a:graphic>
          </wp:inline>
        </w:drawing>
      </w:r>
    </w:p>
    <w:p w14:paraId="2EB21EAE" w14:textId="77777777" w:rsidR="00C55DCA" w:rsidRDefault="00C55DCA" w:rsidP="00E5107E">
      <w:pPr>
        <w:ind w:left="0"/>
        <w:rPr>
          <w:rFonts w:eastAsiaTheme="majorEastAsia" w:cstheme="majorBidi"/>
          <w:b/>
          <w:i/>
          <w:color w:val="002060"/>
        </w:rPr>
      </w:pPr>
    </w:p>
    <w:p w14:paraId="024FC8B7" w14:textId="77777777" w:rsidR="00E5107E" w:rsidRDefault="00E5107E" w:rsidP="00E5107E">
      <w:pPr>
        <w:ind w:left="0"/>
        <w:rPr>
          <w:rFonts w:eastAsiaTheme="majorEastAsia" w:cstheme="majorBidi"/>
          <w:b/>
          <w:i/>
          <w:color w:val="002060"/>
        </w:rPr>
      </w:pPr>
    </w:p>
    <w:p w14:paraId="49D3BD3E" w14:textId="77777777" w:rsidR="00E5107E" w:rsidRDefault="00E5107E" w:rsidP="00E5107E">
      <w:pPr>
        <w:ind w:left="0"/>
        <w:rPr>
          <w:rFonts w:eastAsiaTheme="majorEastAsia" w:cstheme="majorBidi"/>
          <w:b/>
          <w:i/>
          <w:color w:val="002060"/>
        </w:rPr>
      </w:pPr>
    </w:p>
    <w:p w14:paraId="5B0FC62C" w14:textId="77777777" w:rsidR="00E5107E" w:rsidRDefault="00E5107E" w:rsidP="00E5107E">
      <w:pPr>
        <w:ind w:left="0"/>
        <w:rPr>
          <w:rFonts w:eastAsiaTheme="majorEastAsia" w:cstheme="majorBidi"/>
          <w:b/>
          <w:i/>
          <w:color w:val="002060"/>
        </w:rPr>
      </w:pPr>
    </w:p>
    <w:p w14:paraId="07325DE1" w14:textId="77777777" w:rsidR="00E5107E" w:rsidRDefault="00E5107E" w:rsidP="00E5107E">
      <w:pPr>
        <w:ind w:left="0"/>
        <w:rPr>
          <w:rFonts w:eastAsiaTheme="majorEastAsia" w:cstheme="majorBidi"/>
          <w:b/>
          <w:i/>
          <w:color w:val="002060"/>
        </w:rPr>
      </w:pPr>
    </w:p>
    <w:p w14:paraId="324836B0" w14:textId="77777777" w:rsidR="00E5107E" w:rsidRDefault="00E5107E" w:rsidP="00E5107E">
      <w:pPr>
        <w:ind w:left="0"/>
        <w:rPr>
          <w:rFonts w:eastAsiaTheme="majorEastAsia" w:cstheme="majorBidi"/>
          <w:b/>
          <w:i/>
          <w:color w:val="002060"/>
        </w:rPr>
      </w:pPr>
    </w:p>
    <w:p w14:paraId="1766CF63" w14:textId="77777777" w:rsidR="00A60DE6" w:rsidRDefault="00D518E8" w:rsidP="006E4E00">
      <w:pPr>
        <w:ind w:left="720"/>
        <w:rPr>
          <w:rFonts w:eastAsiaTheme="majorEastAsia" w:cstheme="majorBidi"/>
          <w:b/>
          <w:i/>
          <w:color w:val="002060"/>
        </w:rPr>
      </w:pPr>
      <w:r w:rsidRPr="00E5107E">
        <w:rPr>
          <w:rFonts w:eastAsiaTheme="majorEastAsia" w:cstheme="majorBidi"/>
          <w:b/>
          <w:i/>
          <w:color w:val="002060"/>
        </w:rPr>
        <w:lastRenderedPageBreak/>
        <w:t>Providing Budget Support</w:t>
      </w:r>
      <w:r>
        <w:rPr>
          <w:rFonts w:eastAsiaTheme="majorEastAsia" w:cstheme="majorBidi"/>
          <w:b/>
          <w:i/>
          <w:color w:val="002060"/>
        </w:rPr>
        <w:t xml:space="preserve"> </w:t>
      </w:r>
    </w:p>
    <w:p w14:paraId="5E2ECD73" w14:textId="77777777" w:rsidR="00C55DCA" w:rsidRDefault="00D518E8" w:rsidP="00A60DE6">
      <w:pPr>
        <w:ind w:left="0"/>
        <w:rPr>
          <w:rFonts w:eastAsiaTheme="majorEastAsia" w:cstheme="majorBidi"/>
          <w:b/>
          <w:i/>
          <w:color w:val="002060"/>
        </w:rPr>
      </w:pPr>
      <w:r>
        <w:rPr>
          <w:noProof/>
        </w:rPr>
        <w:drawing>
          <wp:inline distT="0" distB="0" distL="0" distR="0" wp14:anchorId="0067D554" wp14:editId="2A6FB961">
            <wp:extent cx="6099973" cy="5598160"/>
            <wp:effectExtent l="0" t="0" r="0" b="2540"/>
            <wp:docPr id="1465563478" name="Picture 1" descr="F2A4E6A5-86EA-4413-90D6-619423C4A8DF|3|Oracle.SmartView.EPRCS|{b2aa5289-e652-40bc-9375-6356266bf5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63478" name=""/>
                    <pic:cNvPicPr/>
                  </pic:nvPicPr>
                  <pic:blipFill>
                    <a:blip r:embed="rId27"/>
                    <a:stretch>
                      <a:fillRect/>
                    </a:stretch>
                  </pic:blipFill>
                  <pic:spPr>
                    <a:xfrm>
                      <a:off x="0" y="0"/>
                      <a:ext cx="6104048" cy="5601900"/>
                    </a:xfrm>
                    <a:prstGeom prst="rect">
                      <a:avLst/>
                    </a:prstGeom>
                  </pic:spPr>
                </pic:pic>
              </a:graphicData>
            </a:graphic>
          </wp:inline>
        </w:drawing>
      </w:r>
    </w:p>
    <w:p w14:paraId="448C8F5E" w14:textId="77777777" w:rsidR="00E5107E" w:rsidRDefault="00D518E8" w:rsidP="003856EE">
      <w:pPr>
        <w:keepNext/>
        <w:keepLines/>
        <w:spacing w:after="120"/>
        <w:ind w:left="720"/>
        <w:outlineLvl w:val="4"/>
        <w:rPr>
          <w:rFonts w:eastAsiaTheme="majorEastAsia" w:cstheme="majorBidi"/>
          <w:b/>
          <w:i/>
          <w:color w:val="002060"/>
        </w:rPr>
      </w:pPr>
      <w:r w:rsidRPr="002640E9">
        <w:rPr>
          <w:rFonts w:eastAsiaTheme="majorEastAsia" w:cstheme="majorBidi"/>
          <w:b/>
          <w:i/>
          <w:color w:val="002060"/>
        </w:rPr>
        <w:lastRenderedPageBreak/>
        <w:t>Providing Strong Academic and Student Support</w:t>
      </w:r>
    </w:p>
    <w:p w14:paraId="5F64D3C7" w14:textId="77777777" w:rsidR="00E5107E" w:rsidRDefault="00D518E8" w:rsidP="002640E9">
      <w:pPr>
        <w:keepNext/>
        <w:keepLines/>
        <w:spacing w:after="120"/>
        <w:ind w:left="0"/>
        <w:outlineLvl w:val="4"/>
        <w:rPr>
          <w:rFonts w:eastAsiaTheme="majorEastAsia" w:cstheme="majorBidi"/>
          <w:b/>
          <w:i/>
          <w:color w:val="002060"/>
        </w:rPr>
      </w:pPr>
      <w:r>
        <w:rPr>
          <w:noProof/>
        </w:rPr>
        <w:drawing>
          <wp:inline distT="0" distB="0" distL="0" distR="0" wp14:anchorId="1B278B1E" wp14:editId="5710CDB2">
            <wp:extent cx="6144344" cy="6819900"/>
            <wp:effectExtent l="0" t="0" r="8890" b="0"/>
            <wp:docPr id="406561198" name="Picture 1" descr="F2A4E6A5-86EA-4413-90D6-619423C4A8DF|3|Oracle.SmartView.EPRCS|{8cdb363e-7a60-483c-bfaa-db297918d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61198" name=""/>
                    <pic:cNvPicPr/>
                  </pic:nvPicPr>
                  <pic:blipFill>
                    <a:blip r:embed="rId28"/>
                    <a:stretch>
                      <a:fillRect/>
                    </a:stretch>
                  </pic:blipFill>
                  <pic:spPr>
                    <a:xfrm>
                      <a:off x="0" y="0"/>
                      <a:ext cx="6167823" cy="6845961"/>
                    </a:xfrm>
                    <a:prstGeom prst="rect">
                      <a:avLst/>
                    </a:prstGeom>
                  </pic:spPr>
                </pic:pic>
              </a:graphicData>
            </a:graphic>
          </wp:inline>
        </w:drawing>
      </w:r>
    </w:p>
    <w:p w14:paraId="3A1D4FD6" w14:textId="77777777" w:rsidR="00E5107E" w:rsidRDefault="00E5107E" w:rsidP="003856EE">
      <w:pPr>
        <w:keepNext/>
        <w:keepLines/>
        <w:spacing w:after="120"/>
        <w:ind w:left="720"/>
        <w:outlineLvl w:val="4"/>
        <w:rPr>
          <w:rFonts w:eastAsiaTheme="majorEastAsia" w:cstheme="majorBidi"/>
          <w:b/>
          <w:i/>
          <w:color w:val="002060"/>
        </w:rPr>
      </w:pPr>
    </w:p>
    <w:p w14:paraId="118C96B8" w14:textId="77777777" w:rsidR="00E5107E" w:rsidRDefault="00D518E8" w:rsidP="002640E9">
      <w:pPr>
        <w:keepNext/>
        <w:keepLines/>
        <w:spacing w:after="120"/>
        <w:ind w:left="0"/>
        <w:outlineLvl w:val="4"/>
        <w:rPr>
          <w:rFonts w:eastAsiaTheme="majorEastAsia" w:cstheme="majorBidi"/>
          <w:b/>
          <w:i/>
          <w:color w:val="002060"/>
        </w:rPr>
      </w:pPr>
      <w:r>
        <w:rPr>
          <w:noProof/>
        </w:rPr>
        <w:lastRenderedPageBreak/>
        <w:drawing>
          <wp:inline distT="0" distB="0" distL="0" distR="0" wp14:anchorId="3AB010AA" wp14:editId="0F7C0BEC">
            <wp:extent cx="6069748" cy="6762750"/>
            <wp:effectExtent l="0" t="0" r="7620" b="0"/>
            <wp:docPr id="109406126" name="Picture 1" descr="F2A4E6A5-86EA-4413-90D6-619423C4A8DF|3|Oracle.SmartView.EPRCS|{0647f445-190c-405b-941c-9888181c2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6126" name=""/>
                    <pic:cNvPicPr/>
                  </pic:nvPicPr>
                  <pic:blipFill>
                    <a:blip r:embed="rId29"/>
                    <a:stretch>
                      <a:fillRect/>
                    </a:stretch>
                  </pic:blipFill>
                  <pic:spPr>
                    <a:xfrm>
                      <a:off x="0" y="0"/>
                      <a:ext cx="6082113" cy="6776527"/>
                    </a:xfrm>
                    <a:prstGeom prst="rect">
                      <a:avLst/>
                    </a:prstGeom>
                  </pic:spPr>
                </pic:pic>
              </a:graphicData>
            </a:graphic>
          </wp:inline>
        </w:drawing>
      </w:r>
    </w:p>
    <w:p w14:paraId="597EB961" w14:textId="77777777" w:rsidR="002640E9" w:rsidRDefault="00D518E8" w:rsidP="00FB1707">
      <w:pPr>
        <w:spacing w:before="0" w:after="160"/>
        <w:ind w:left="0"/>
        <w:rPr>
          <w:rFonts w:eastAsiaTheme="majorEastAsia" w:cstheme="majorBidi"/>
          <w:b/>
          <w:i/>
          <w:color w:val="002060"/>
        </w:rPr>
      </w:pPr>
      <w:r>
        <w:rPr>
          <w:rFonts w:eastAsiaTheme="majorEastAsia" w:cstheme="majorBidi"/>
          <w:b/>
          <w:i/>
          <w:color w:val="002060"/>
        </w:rPr>
        <w:br w:type="page"/>
      </w:r>
    </w:p>
    <w:p w14:paraId="6D9AA257" w14:textId="77777777" w:rsidR="003856EE" w:rsidRPr="00BC1D5F" w:rsidRDefault="00D518E8" w:rsidP="003856EE">
      <w:pPr>
        <w:pStyle w:val="Level1"/>
      </w:pPr>
      <w:bookmarkStart w:id="15" w:name="_Toc236305180"/>
      <w:r>
        <w:lastRenderedPageBreak/>
        <w:t xml:space="preserve">Unit Funding and </w:t>
      </w:r>
      <w:r w:rsidR="003B5D4A" w:rsidRPr="00BC1D5F">
        <w:t>Budget Model</w:t>
      </w:r>
      <w:r w:rsidR="004B1205">
        <w:t>s</w:t>
      </w:r>
      <w:bookmarkEnd w:id="15"/>
    </w:p>
    <w:p w14:paraId="6052D738" w14:textId="77777777" w:rsidR="003856EE" w:rsidRPr="00BC1D5F" w:rsidRDefault="00D518E8" w:rsidP="003B5D4A">
      <w:pPr>
        <w:pStyle w:val="Level2"/>
        <w:numPr>
          <w:ilvl w:val="0"/>
          <w:numId w:val="24"/>
        </w:numPr>
        <w:ind w:left="1080"/>
        <w:rPr>
          <w:rFonts w:cstheme="minorHAnsi"/>
        </w:rPr>
      </w:pPr>
      <w:bookmarkStart w:id="16" w:name="_Toc236305181"/>
      <w:r w:rsidRPr="00BC1D5F">
        <w:t>Base Budget</w:t>
      </w:r>
      <w:bookmarkEnd w:id="16"/>
    </w:p>
    <w:p w14:paraId="651763AC" w14:textId="77777777" w:rsidR="003856EE" w:rsidRPr="00BC1D5F" w:rsidRDefault="00D518E8" w:rsidP="006E4A77">
      <w:pPr>
        <w:pStyle w:val="bulletub"/>
        <w:numPr>
          <w:ilvl w:val="0"/>
          <w:numId w:val="0"/>
        </w:numPr>
        <w:ind w:left="360"/>
      </w:pPr>
      <w:r w:rsidRPr="00BC1D5F">
        <w:t xml:space="preserve">A unit’s base budget comprises the following: </w:t>
      </w:r>
    </w:p>
    <w:p w14:paraId="4D579FA4" w14:textId="77777777" w:rsidR="003856EE" w:rsidRPr="00BC1D5F" w:rsidRDefault="00D518E8" w:rsidP="003856EE">
      <w:pPr>
        <w:pStyle w:val="bulletub"/>
      </w:pPr>
      <w:r w:rsidRPr="00BC1D5F">
        <w:t>a combination of historical agreements between current and former Provosts and Deans.</w:t>
      </w:r>
    </w:p>
    <w:p w14:paraId="35942E78" w14:textId="77777777" w:rsidR="003856EE" w:rsidRPr="00BC1D5F" w:rsidRDefault="00D518E8" w:rsidP="003856EE">
      <w:pPr>
        <w:pStyle w:val="bulletub"/>
      </w:pPr>
      <w:r w:rsidRPr="00BC1D5F">
        <w:t>tuition revenue to support base enrollment.</w:t>
      </w:r>
    </w:p>
    <w:p w14:paraId="10C78DE9" w14:textId="77777777" w:rsidR="003856EE" w:rsidRPr="00BC1D5F" w:rsidRDefault="00D518E8" w:rsidP="003856EE">
      <w:pPr>
        <w:pStyle w:val="bulletub"/>
      </w:pPr>
      <w:r w:rsidRPr="00BC1D5F">
        <w:t>shares from tuition increases.</w:t>
      </w:r>
    </w:p>
    <w:p w14:paraId="529BCEBA" w14:textId="77777777" w:rsidR="003856EE" w:rsidRPr="00BC1D5F" w:rsidRDefault="00D518E8" w:rsidP="003856EE">
      <w:pPr>
        <w:pStyle w:val="bulletub"/>
      </w:pPr>
      <w:r w:rsidRPr="00BC1D5F">
        <w:t>investments to support unit and university special initiatives.</w:t>
      </w:r>
    </w:p>
    <w:p w14:paraId="3E56A06B" w14:textId="77777777" w:rsidR="003856EE" w:rsidRPr="00BC1D5F" w:rsidRDefault="00D518E8" w:rsidP="003856EE">
      <w:r>
        <w:t>Base budgets are delivered on or about July 1</w:t>
      </w:r>
      <w:r w:rsidR="003B5D4A" w:rsidRPr="00BC1D5F">
        <w:t>.</w:t>
      </w:r>
    </w:p>
    <w:p w14:paraId="1C550376" w14:textId="77777777" w:rsidR="003856EE" w:rsidRDefault="00D518E8" w:rsidP="003B5D4A">
      <w:pPr>
        <w:pStyle w:val="Level2"/>
        <w:numPr>
          <w:ilvl w:val="0"/>
          <w:numId w:val="24"/>
        </w:numPr>
        <w:ind w:left="1080"/>
      </w:pPr>
      <w:bookmarkStart w:id="17" w:name="_Toc236305182"/>
      <w:r w:rsidRPr="00BC1D5F">
        <w:t>Tuition Revenue</w:t>
      </w:r>
      <w:r w:rsidR="0078611E">
        <w:t xml:space="preserve"> Budget Models</w:t>
      </w:r>
      <w:bookmarkEnd w:id="17"/>
    </w:p>
    <w:p w14:paraId="04729080" w14:textId="77777777" w:rsidR="0078611E" w:rsidRPr="00BC1D5F" w:rsidRDefault="00D518E8" w:rsidP="003B5D4A">
      <w:pPr>
        <w:pStyle w:val="Level4"/>
        <w:numPr>
          <w:ilvl w:val="0"/>
          <w:numId w:val="35"/>
        </w:numPr>
      </w:pPr>
      <w:r>
        <w:t>Academic-Year Budget Model</w:t>
      </w:r>
    </w:p>
    <w:p w14:paraId="3A1E2EAE" w14:textId="77777777" w:rsidR="0078611E" w:rsidRDefault="00D518E8" w:rsidP="0078611E">
      <w:pPr>
        <w:pStyle w:val="bulletub"/>
        <w:numPr>
          <w:ilvl w:val="0"/>
          <w:numId w:val="0"/>
        </w:numPr>
        <w:ind w:left="360"/>
      </w:pPr>
      <w:r w:rsidRPr="00BC1D5F">
        <w:t xml:space="preserve">The budget model aligns unit </w:t>
      </w:r>
      <w:r>
        <w:t xml:space="preserve">tuition revenue </w:t>
      </w:r>
      <w:r w:rsidRPr="00BC1D5F">
        <w:t>targets with recent enrollment trends, distributes revenue to growing units, and calculates targets for all units in a consistent manner.</w:t>
      </w:r>
    </w:p>
    <w:p w14:paraId="32F19B2F" w14:textId="77777777" w:rsidR="0078611E" w:rsidRPr="00BC1D5F" w:rsidRDefault="00D518E8" w:rsidP="0078611E">
      <w:pPr>
        <w:pStyle w:val="bulletub"/>
        <w:numPr>
          <w:ilvl w:val="0"/>
          <w:numId w:val="0"/>
        </w:numPr>
        <w:ind w:left="360"/>
      </w:pPr>
      <w:r w:rsidRPr="00BC1D5F">
        <w:t>Targets are reset annually based on a weighted three-year rolling average</w:t>
      </w:r>
      <w:r w:rsidR="00DF3002">
        <w:t xml:space="preserve"> of tuition revenue generated by the unit</w:t>
      </w:r>
      <w:r>
        <w:t>.</w:t>
      </w:r>
    </w:p>
    <w:p w14:paraId="79DB28F8" w14:textId="77777777" w:rsidR="0078611E" w:rsidRPr="00BC1D5F" w:rsidRDefault="00D518E8" w:rsidP="003B5D4A">
      <w:pPr>
        <w:pStyle w:val="bulletub"/>
        <w:numPr>
          <w:ilvl w:val="0"/>
          <w:numId w:val="36"/>
        </w:numPr>
      </w:pPr>
      <w:r w:rsidRPr="00BC1D5F">
        <w:t>50% weight for the most recent year</w:t>
      </w:r>
    </w:p>
    <w:p w14:paraId="67BFBC8F" w14:textId="77777777" w:rsidR="0078611E" w:rsidRPr="00BC1D5F" w:rsidRDefault="00D518E8" w:rsidP="003B5D4A">
      <w:pPr>
        <w:pStyle w:val="bulletub"/>
        <w:numPr>
          <w:ilvl w:val="0"/>
          <w:numId w:val="36"/>
        </w:numPr>
      </w:pPr>
      <w:r w:rsidRPr="00BC1D5F">
        <w:t>30% weight for the next year</w:t>
      </w:r>
    </w:p>
    <w:p w14:paraId="41B1AD90" w14:textId="77777777" w:rsidR="0078611E" w:rsidRPr="00BC1D5F" w:rsidRDefault="00D518E8" w:rsidP="003B5D4A">
      <w:pPr>
        <w:pStyle w:val="bulletub"/>
        <w:numPr>
          <w:ilvl w:val="0"/>
          <w:numId w:val="36"/>
        </w:numPr>
      </w:pPr>
      <w:r w:rsidRPr="00BC1D5F">
        <w:t>20% weight for the third year</w:t>
      </w:r>
    </w:p>
    <w:p w14:paraId="585C5191" w14:textId="77777777" w:rsidR="00DF3002" w:rsidRPr="00DF3002" w:rsidRDefault="00D518E8" w:rsidP="00DF3002">
      <w:pPr>
        <w:pStyle w:val="bulletub"/>
        <w:numPr>
          <w:ilvl w:val="0"/>
          <w:numId w:val="0"/>
        </w:numPr>
        <w:ind w:left="360"/>
      </w:pPr>
      <w:r w:rsidRPr="00DF3002">
        <w:t>Unit targets are expressed as a single value; however, they are calculated by combining separate undergraduate and graduate/professional targets. This approach helps neutralize the impact of undergraduate international student enrollment, which is not directly controlled by individual schools.</w:t>
      </w:r>
    </w:p>
    <w:p w14:paraId="68B202DD" w14:textId="77777777" w:rsidR="0078611E" w:rsidRPr="00BC1D5F" w:rsidRDefault="00D518E8" w:rsidP="003B5D4A">
      <w:pPr>
        <w:pStyle w:val="bulletub"/>
        <w:numPr>
          <w:ilvl w:val="0"/>
          <w:numId w:val="36"/>
        </w:numPr>
      </w:pPr>
      <w:r w:rsidRPr="00BC1D5F">
        <w:t>Grad/Professional (G/P) – uses gross tuition revenue as a metric to calculate G/P targets.</w:t>
      </w:r>
    </w:p>
    <w:p w14:paraId="1024B44D" w14:textId="77777777" w:rsidR="0078611E" w:rsidRPr="00BC1D5F" w:rsidRDefault="00D518E8" w:rsidP="003B5D4A">
      <w:pPr>
        <w:pStyle w:val="bulletub"/>
        <w:numPr>
          <w:ilvl w:val="0"/>
          <w:numId w:val="36"/>
        </w:numPr>
      </w:pPr>
      <w:r w:rsidRPr="00BC1D5F">
        <w:t xml:space="preserve">Undergraduate (UG) – uses university-wide UG credit hour average values and </w:t>
      </w:r>
      <w:r w:rsidR="006E4A77">
        <w:t xml:space="preserve">unit </w:t>
      </w:r>
      <w:r w:rsidRPr="00BC1D5F">
        <w:t>UG credit hours to calculate UG targets.</w:t>
      </w:r>
    </w:p>
    <w:p w14:paraId="6B25A38B" w14:textId="77777777" w:rsidR="0078611E" w:rsidRDefault="00D518E8" w:rsidP="00DF3002">
      <w:pPr>
        <w:pStyle w:val="bulletub"/>
        <w:numPr>
          <w:ilvl w:val="0"/>
          <w:numId w:val="0"/>
        </w:numPr>
        <w:ind w:left="360"/>
      </w:pPr>
      <w:r w:rsidRPr="00BC1D5F">
        <w:t xml:space="preserve">If a unit exceeds its tuition revenue target in a given year, the unit will receive </w:t>
      </w:r>
      <w:r w:rsidR="00DF3002">
        <w:t xml:space="preserve">70% of the performance above target </w:t>
      </w:r>
      <w:r w:rsidRPr="00BC1D5F">
        <w:t>in non-recurring state operating funds</w:t>
      </w:r>
      <w:r w:rsidR="00DF3002">
        <w:t xml:space="preserve"> in the following </w:t>
      </w:r>
      <w:r w:rsidR="00DF3002">
        <w:lastRenderedPageBreak/>
        <w:t>year</w:t>
      </w:r>
      <w:r w:rsidRPr="00BC1D5F">
        <w:t xml:space="preserve">. Units that do not meet their target in a given year </w:t>
      </w:r>
      <w:r w:rsidR="00DF3002">
        <w:t>are</w:t>
      </w:r>
      <w:r w:rsidRPr="00BC1D5F">
        <w:t xml:space="preserve"> subject to the Tuition Revenue Shortfall Assessment (TRSA) outlined below.</w:t>
      </w:r>
    </w:p>
    <w:p w14:paraId="1E0006D5" w14:textId="77777777" w:rsidR="00DF3002" w:rsidRPr="00BC1D5F" w:rsidRDefault="00D518E8" w:rsidP="00DF3002">
      <w:pPr>
        <w:pStyle w:val="Level4"/>
      </w:pPr>
      <w:r w:rsidRPr="00BC1D5F">
        <w:t>Tuition Revenue Shortfall Adjustment (TRSA)</w:t>
      </w:r>
    </w:p>
    <w:tbl>
      <w:tblPr>
        <w:tblStyle w:val="TableGrid"/>
        <w:tblW w:w="0" w:type="auto"/>
        <w:jc w:val="center"/>
        <w:tblLook w:val="04A0" w:firstRow="1" w:lastRow="0" w:firstColumn="1" w:lastColumn="0" w:noHBand="0" w:noVBand="1"/>
      </w:tblPr>
      <w:tblGrid>
        <w:gridCol w:w="2245"/>
        <w:gridCol w:w="2160"/>
      </w:tblGrid>
      <w:tr w:rsidR="00E47A96" w14:paraId="0406C4B4" w14:textId="77777777" w:rsidTr="008F4C19">
        <w:trPr>
          <w:trHeight w:val="309"/>
          <w:tblHeader/>
          <w:jc w:val="center"/>
        </w:trPr>
        <w:tc>
          <w:tcPr>
            <w:tcW w:w="2245" w:type="dxa"/>
            <w:shd w:val="clear" w:color="auto" w:fill="F2F2F2" w:themeFill="background1" w:themeFillShade="F2"/>
            <w:tcMar>
              <w:left w:w="115" w:type="dxa"/>
              <w:right w:w="115" w:type="dxa"/>
            </w:tcMar>
            <w:vAlign w:val="center"/>
          </w:tcPr>
          <w:p w14:paraId="0212CC42" w14:textId="77777777" w:rsidR="00DF3002" w:rsidRPr="00BC1D5F" w:rsidRDefault="00D518E8" w:rsidP="008F4C19">
            <w:r w:rsidRPr="00BC1D5F">
              <w:t>Band*</w:t>
            </w:r>
          </w:p>
        </w:tc>
        <w:tc>
          <w:tcPr>
            <w:tcW w:w="2160" w:type="dxa"/>
            <w:shd w:val="clear" w:color="auto" w:fill="F2F2F2" w:themeFill="background1" w:themeFillShade="F2"/>
            <w:tcMar>
              <w:left w:w="115" w:type="dxa"/>
              <w:right w:w="115" w:type="dxa"/>
            </w:tcMar>
            <w:vAlign w:val="center"/>
          </w:tcPr>
          <w:p w14:paraId="2632C044" w14:textId="77777777" w:rsidR="00DF3002" w:rsidRPr="00BC1D5F" w:rsidRDefault="00D518E8" w:rsidP="008F4C19">
            <w:r w:rsidRPr="00BC1D5F">
              <w:t xml:space="preserve">TRSA % </w:t>
            </w:r>
          </w:p>
        </w:tc>
      </w:tr>
      <w:tr w:rsidR="00E47A96" w14:paraId="6A4D54EE" w14:textId="77777777" w:rsidTr="008F4C19">
        <w:trPr>
          <w:trHeight w:val="395"/>
          <w:jc w:val="center"/>
        </w:trPr>
        <w:tc>
          <w:tcPr>
            <w:tcW w:w="2245" w:type="dxa"/>
            <w:tcMar>
              <w:left w:w="115" w:type="dxa"/>
              <w:right w:w="115" w:type="dxa"/>
            </w:tcMar>
            <w:vAlign w:val="center"/>
          </w:tcPr>
          <w:p w14:paraId="12B4E943" w14:textId="77777777" w:rsidR="00DF3002" w:rsidRPr="00BC1D5F" w:rsidRDefault="00D518E8" w:rsidP="008F4C19">
            <w:r w:rsidRPr="00BC1D5F">
              <w:t>&gt;2%</w:t>
            </w:r>
          </w:p>
        </w:tc>
        <w:tc>
          <w:tcPr>
            <w:tcW w:w="2160" w:type="dxa"/>
            <w:tcMar>
              <w:left w:w="115" w:type="dxa"/>
              <w:right w:w="115" w:type="dxa"/>
            </w:tcMar>
            <w:vAlign w:val="center"/>
          </w:tcPr>
          <w:p w14:paraId="416567D6" w14:textId="77777777" w:rsidR="00DF3002" w:rsidRPr="00BC1D5F" w:rsidRDefault="00D518E8" w:rsidP="008F4C19">
            <w:r w:rsidRPr="00BC1D5F">
              <w:t>0%</w:t>
            </w:r>
          </w:p>
        </w:tc>
      </w:tr>
      <w:tr w:rsidR="00E47A96" w14:paraId="6594700C" w14:textId="77777777" w:rsidTr="008F4C19">
        <w:trPr>
          <w:trHeight w:val="350"/>
          <w:jc w:val="center"/>
        </w:trPr>
        <w:tc>
          <w:tcPr>
            <w:tcW w:w="2245" w:type="dxa"/>
            <w:tcMar>
              <w:left w:w="115" w:type="dxa"/>
              <w:right w:w="115" w:type="dxa"/>
            </w:tcMar>
            <w:vAlign w:val="center"/>
          </w:tcPr>
          <w:p w14:paraId="33C026A6" w14:textId="77777777" w:rsidR="00DF3002" w:rsidRPr="00BC1D5F" w:rsidRDefault="00D518E8" w:rsidP="008F4C19">
            <w:r w:rsidRPr="00BC1D5F">
              <w:t>2% to &gt;5%</w:t>
            </w:r>
          </w:p>
        </w:tc>
        <w:tc>
          <w:tcPr>
            <w:tcW w:w="2160" w:type="dxa"/>
            <w:tcMar>
              <w:left w:w="115" w:type="dxa"/>
              <w:right w:w="115" w:type="dxa"/>
            </w:tcMar>
            <w:vAlign w:val="center"/>
          </w:tcPr>
          <w:p w14:paraId="6D976F44" w14:textId="77777777" w:rsidR="00DF3002" w:rsidRPr="00BC1D5F" w:rsidRDefault="00D518E8" w:rsidP="008F4C19">
            <w:r w:rsidRPr="00BC1D5F">
              <w:t>40%</w:t>
            </w:r>
          </w:p>
        </w:tc>
      </w:tr>
      <w:tr w:rsidR="00E47A96" w14:paraId="63E6DD2E" w14:textId="77777777" w:rsidTr="008F4C19">
        <w:trPr>
          <w:trHeight w:val="350"/>
          <w:jc w:val="center"/>
        </w:trPr>
        <w:tc>
          <w:tcPr>
            <w:tcW w:w="2245" w:type="dxa"/>
            <w:tcMar>
              <w:left w:w="115" w:type="dxa"/>
              <w:right w:w="115" w:type="dxa"/>
            </w:tcMar>
            <w:vAlign w:val="center"/>
          </w:tcPr>
          <w:p w14:paraId="0A9B6F61" w14:textId="77777777" w:rsidR="00DF3002" w:rsidRPr="00BC1D5F" w:rsidRDefault="00D518E8" w:rsidP="008F4C19">
            <w:r w:rsidRPr="00BC1D5F">
              <w:t>5% to &gt;10%</w:t>
            </w:r>
          </w:p>
        </w:tc>
        <w:tc>
          <w:tcPr>
            <w:tcW w:w="2160" w:type="dxa"/>
            <w:tcMar>
              <w:left w:w="115" w:type="dxa"/>
              <w:right w:w="115" w:type="dxa"/>
            </w:tcMar>
            <w:vAlign w:val="center"/>
          </w:tcPr>
          <w:p w14:paraId="080C88C0" w14:textId="77777777" w:rsidR="00DF3002" w:rsidRPr="00BC1D5F" w:rsidRDefault="00D518E8" w:rsidP="008F4C19">
            <w:r w:rsidRPr="00BC1D5F">
              <w:t>60%</w:t>
            </w:r>
          </w:p>
        </w:tc>
      </w:tr>
      <w:tr w:rsidR="00E47A96" w14:paraId="525A06C8" w14:textId="77777777" w:rsidTr="008F4C19">
        <w:trPr>
          <w:trHeight w:val="350"/>
          <w:jc w:val="center"/>
        </w:trPr>
        <w:tc>
          <w:tcPr>
            <w:tcW w:w="2245" w:type="dxa"/>
            <w:tcMar>
              <w:left w:w="115" w:type="dxa"/>
              <w:right w:w="115" w:type="dxa"/>
            </w:tcMar>
            <w:vAlign w:val="center"/>
          </w:tcPr>
          <w:p w14:paraId="2AC006BA" w14:textId="77777777" w:rsidR="00DF3002" w:rsidRPr="00BC1D5F" w:rsidRDefault="00D518E8" w:rsidP="008F4C19">
            <w:r w:rsidRPr="00BC1D5F">
              <w:t>10%</w:t>
            </w:r>
          </w:p>
        </w:tc>
        <w:tc>
          <w:tcPr>
            <w:tcW w:w="2160" w:type="dxa"/>
            <w:tcMar>
              <w:left w:w="115" w:type="dxa"/>
              <w:right w:w="115" w:type="dxa"/>
            </w:tcMar>
            <w:vAlign w:val="center"/>
          </w:tcPr>
          <w:p w14:paraId="23CEDF52" w14:textId="77777777" w:rsidR="00DF3002" w:rsidRPr="00BC1D5F" w:rsidRDefault="00D518E8" w:rsidP="008F4C19">
            <w:r w:rsidRPr="00BC1D5F">
              <w:t>80%</w:t>
            </w:r>
          </w:p>
        </w:tc>
      </w:tr>
    </w:tbl>
    <w:p w14:paraId="62C3171F" w14:textId="77777777" w:rsidR="00DF3002" w:rsidRPr="00BC1D5F" w:rsidRDefault="00D518E8" w:rsidP="00DF3002">
      <w:pPr>
        <w:pStyle w:val="normal2"/>
      </w:pPr>
      <w:r w:rsidRPr="00BC1D5F">
        <w:t>*Bands: The purpose of the bands is to recognize that a unit may be unable to anticipate enrollment fluctuations (in which case the risk is shared between the unit and the university), as well as the opportunity for a unit to make short-term adjustments to lessen the impact of unanticipated enrollment shortfalls.</w:t>
      </w:r>
    </w:p>
    <w:p w14:paraId="715AF2C0" w14:textId="77777777" w:rsidR="0078611E" w:rsidRPr="00BC1D5F" w:rsidRDefault="00D518E8" w:rsidP="0078611E">
      <w:r w:rsidRPr="00BC1D5F">
        <w:t xml:space="preserve">Base budgets </w:t>
      </w:r>
      <w:r w:rsidR="00AB24FE">
        <w:t xml:space="preserve">are </w:t>
      </w:r>
      <w:r w:rsidRPr="00BC1D5F">
        <w:t xml:space="preserve">adjusted at the beginning of the fiscal year in alignment with updated tuition revenue target. The change to base budget </w:t>
      </w:r>
      <w:r w:rsidR="00AB24FE">
        <w:t>is</w:t>
      </w:r>
      <w:r w:rsidRPr="00BC1D5F">
        <w:t xml:space="preserve"> 70% of the change to the tuition revenue target.</w:t>
      </w:r>
    </w:p>
    <w:p w14:paraId="491F9E92" w14:textId="77777777" w:rsidR="00DF3002" w:rsidRPr="00BC1D5F" w:rsidRDefault="00D518E8" w:rsidP="003B5D4A">
      <w:pPr>
        <w:pStyle w:val="Level4"/>
        <w:numPr>
          <w:ilvl w:val="0"/>
          <w:numId w:val="35"/>
        </w:numPr>
      </w:pPr>
      <w:r w:rsidRPr="00BC1D5F">
        <w:t xml:space="preserve">Summer Session Budget Model </w:t>
      </w:r>
    </w:p>
    <w:p w14:paraId="5D131364" w14:textId="77777777" w:rsidR="00AB24FE" w:rsidRPr="00AB24FE" w:rsidRDefault="00D518E8" w:rsidP="00AB24FE">
      <w:r w:rsidRPr="00BC1D5F">
        <w:t xml:space="preserve">Units do not have </w:t>
      </w:r>
      <w:r>
        <w:t>summer</w:t>
      </w:r>
      <w:r w:rsidRPr="00BC1D5F">
        <w:t xml:space="preserve"> tuition revenue targets. </w:t>
      </w:r>
      <w:r>
        <w:t>Tuition revenue is shared 6</w:t>
      </w:r>
      <w:r w:rsidRPr="00BC1D5F">
        <w:t xml:space="preserve">0% to units and </w:t>
      </w:r>
      <w:r>
        <w:t>4</w:t>
      </w:r>
      <w:r w:rsidRPr="00BC1D5F">
        <w:t>0% to central for investment.</w:t>
      </w:r>
    </w:p>
    <w:p w14:paraId="3FDBC0B0" w14:textId="77777777" w:rsidR="00DF3002" w:rsidRPr="00BC1D5F" w:rsidRDefault="00D518E8" w:rsidP="00DF3002">
      <w:pPr>
        <w:rPr>
          <w:b/>
          <w:i/>
        </w:rPr>
      </w:pPr>
      <w:r w:rsidRPr="00BC1D5F">
        <w:t xml:space="preserve">The costs of offering summer session courses are expected by SUNY to be funded from tuition revenues earned in those courses or from other institutional revenues. </w:t>
      </w:r>
    </w:p>
    <w:p w14:paraId="6C7C0636" w14:textId="77777777" w:rsidR="00DF3002" w:rsidRPr="00BC1D5F" w:rsidRDefault="00D518E8" w:rsidP="003B5D4A">
      <w:pPr>
        <w:pStyle w:val="Level4"/>
        <w:numPr>
          <w:ilvl w:val="0"/>
          <w:numId w:val="35"/>
        </w:numPr>
      </w:pPr>
      <w:r w:rsidRPr="00BC1D5F">
        <w:t>Winter Session Budget Model</w:t>
      </w:r>
    </w:p>
    <w:p w14:paraId="6D07437F" w14:textId="77777777" w:rsidR="00AB24FE" w:rsidRPr="00AB24FE" w:rsidRDefault="00D518E8" w:rsidP="00AB24FE">
      <w:r w:rsidRPr="00BC1D5F">
        <w:t xml:space="preserve">Units do not have winter tuition revenue targets. </w:t>
      </w:r>
      <w:r>
        <w:t xml:space="preserve">Tuition revenue is shared </w:t>
      </w:r>
      <w:r w:rsidRPr="00BC1D5F">
        <w:t>70% to units and 30% to central for investment.</w:t>
      </w:r>
    </w:p>
    <w:p w14:paraId="4AB53EF8" w14:textId="77777777" w:rsidR="00DF3002" w:rsidRDefault="00D518E8" w:rsidP="00DF3002">
      <w:r w:rsidRPr="00BC1D5F">
        <w:t xml:space="preserve">The costs of offering winter session courses are expected by SUNY to be funded from tuition revenues earned in those courses or from other institutional revenues. </w:t>
      </w:r>
    </w:p>
    <w:p w14:paraId="263D9639" w14:textId="77777777" w:rsidR="0078611E" w:rsidRPr="00BC1D5F" w:rsidRDefault="00D518E8" w:rsidP="00AB24FE">
      <w:pPr>
        <w:pStyle w:val="Level2"/>
        <w:numPr>
          <w:ilvl w:val="0"/>
          <w:numId w:val="24"/>
        </w:numPr>
        <w:ind w:left="1080"/>
      </w:pPr>
      <w:bookmarkStart w:id="18" w:name="_Toc236305183"/>
      <w:r w:rsidRPr="00BC1D5F">
        <w:lastRenderedPageBreak/>
        <w:t xml:space="preserve">Tuition Rate Increase </w:t>
      </w:r>
      <w:r w:rsidR="0026151F">
        <w:t>Shares</w:t>
      </w:r>
      <w:bookmarkEnd w:id="18"/>
    </w:p>
    <w:p w14:paraId="23B8D24A" w14:textId="77777777" w:rsidR="0078611E" w:rsidRPr="00BC1D5F" w:rsidRDefault="00D518E8" w:rsidP="0078611E">
      <w:r>
        <w:t xml:space="preserve">Academic units receive a recurring increase to base budget equal to 50% of the increase in graduate </w:t>
      </w:r>
      <w:r w:rsidR="004F1771">
        <w:t xml:space="preserve">and professional </w:t>
      </w:r>
      <w:r>
        <w:t>tuition</w:t>
      </w:r>
      <w:r w:rsidR="004F1771">
        <w:t xml:space="preserve"> rates</w:t>
      </w:r>
      <w:r>
        <w:t>.</w:t>
      </w:r>
    </w:p>
    <w:p w14:paraId="04682299" w14:textId="77777777" w:rsidR="00E557D4" w:rsidRPr="00BC1D5F" w:rsidRDefault="00D518E8" w:rsidP="004F1771">
      <w:pPr>
        <w:pStyle w:val="Level2"/>
        <w:numPr>
          <w:ilvl w:val="0"/>
          <w:numId w:val="24"/>
        </w:numPr>
        <w:ind w:left="1080"/>
      </w:pPr>
      <w:bookmarkStart w:id="19" w:name="_Toc236305184"/>
      <w:r w:rsidRPr="00BC1D5F">
        <w:t>Indirect Cost Recovery (ICR)</w:t>
      </w:r>
      <w:bookmarkEnd w:id="19"/>
    </w:p>
    <w:p w14:paraId="2A040686" w14:textId="77777777" w:rsidR="00E557D4" w:rsidRDefault="00D518E8" w:rsidP="00E557D4">
      <w:r w:rsidRPr="00BC1D5F">
        <w:t xml:space="preserve">Each year, a percentage of indirect costs recovered from sponsored projects is distributed to university entities based upon the affiliation and relative contributions of key personnel to project objectives. At the discretion of the Provost, ICR distribution may occur to other (non-academic) university entities. The current ICR distribution rate is 12%. Delivery of the 12% ICR distribution for the prior year occurs in August. </w:t>
      </w:r>
    </w:p>
    <w:p w14:paraId="777B0C55" w14:textId="77777777" w:rsidR="00D35B4D" w:rsidRPr="00BC1D5F" w:rsidRDefault="00D518E8" w:rsidP="00D35B4D">
      <w:pPr>
        <w:pStyle w:val="learnmore"/>
      </w:pPr>
      <w:r w:rsidRPr="00BC1D5F">
        <w:rPr>
          <w:b w:val="0"/>
          <w:bCs/>
          <w:sz w:val="24"/>
        </w:rPr>
        <w:t>Learn more about</w:t>
      </w:r>
      <w:r w:rsidRPr="00BC1D5F">
        <w:rPr>
          <w:sz w:val="24"/>
        </w:rPr>
        <w:t xml:space="preserve"> </w:t>
      </w:r>
      <w:hyperlink r:id="rId30" w:history="1">
        <w:r w:rsidR="00D35B4D" w:rsidRPr="00BC1D5F">
          <w:rPr>
            <w:rStyle w:val="Hyperlink"/>
            <w:i w:val="0"/>
            <w:color w:val="0070C0"/>
            <w:sz w:val="24"/>
          </w:rPr>
          <w:t>Indirect (F&amp;A) Cost Recovery and Distribution policy</w:t>
        </w:r>
      </w:hyperlink>
    </w:p>
    <w:p w14:paraId="469507EC" w14:textId="77777777" w:rsidR="004F1771" w:rsidRPr="004F1771" w:rsidRDefault="00D518E8" w:rsidP="004F1771">
      <w:pPr>
        <w:pStyle w:val="Level2"/>
        <w:numPr>
          <w:ilvl w:val="0"/>
          <w:numId w:val="24"/>
        </w:numPr>
        <w:ind w:left="1080"/>
      </w:pPr>
      <w:bookmarkStart w:id="20" w:name="_Toc236305185"/>
      <w:r w:rsidRPr="004F1771">
        <w:t>Fringe Over Target</w:t>
      </w:r>
      <w:bookmarkEnd w:id="20"/>
    </w:p>
    <w:p w14:paraId="5E5DCA11" w14:textId="77777777" w:rsidR="00D35B4D" w:rsidRDefault="00D518E8" w:rsidP="00D35B4D">
      <w:pPr>
        <w:rPr>
          <w:bCs/>
          <w:iCs/>
        </w:rPr>
      </w:pPr>
      <w:r>
        <w:rPr>
          <w:bCs/>
          <w:iCs/>
        </w:rPr>
        <w:t>The university has a fixed fringe cost target. Any amount incurred over the target is reimbursed 100% by SUNY.</w:t>
      </w:r>
    </w:p>
    <w:p w14:paraId="4F1DC624" w14:textId="77777777" w:rsidR="004F1771" w:rsidRDefault="00D518E8" w:rsidP="004F1771">
      <w:pPr>
        <w:rPr>
          <w:bCs/>
          <w:iCs/>
        </w:rPr>
      </w:pPr>
      <w:r>
        <w:rPr>
          <w:bCs/>
          <w:iCs/>
        </w:rPr>
        <w:t>Units have a fixed fringe cost target. Any amount incurred over the target is</w:t>
      </w:r>
      <w:r w:rsidR="00D35B4D">
        <w:rPr>
          <w:bCs/>
          <w:iCs/>
        </w:rPr>
        <w:t xml:space="preserve"> r</w:t>
      </w:r>
      <w:r>
        <w:rPr>
          <w:bCs/>
          <w:iCs/>
        </w:rPr>
        <w:t>eimbursed 100% by the university.</w:t>
      </w:r>
    </w:p>
    <w:p w14:paraId="4447365C" w14:textId="77777777" w:rsidR="003856EE" w:rsidRPr="00BC1D5F" w:rsidRDefault="00D518E8" w:rsidP="004F1771">
      <w:pPr>
        <w:pStyle w:val="Level1"/>
      </w:pPr>
      <w:bookmarkStart w:id="21" w:name="_Toc236305186"/>
      <w:r w:rsidRPr="004F1771">
        <w:t>Fees</w:t>
      </w:r>
      <w:bookmarkEnd w:id="21"/>
      <w:r w:rsidRPr="004F1771">
        <w:t xml:space="preserve"> </w:t>
      </w:r>
    </w:p>
    <w:p w14:paraId="7AFD34BF" w14:textId="77777777" w:rsidR="0026151F" w:rsidRPr="00BC1D5F" w:rsidRDefault="00D518E8" w:rsidP="0026151F">
      <w:pPr>
        <w:pStyle w:val="Level2"/>
        <w:numPr>
          <w:ilvl w:val="0"/>
          <w:numId w:val="32"/>
        </w:numPr>
      </w:pPr>
      <w:bookmarkStart w:id="22" w:name="_Toc236305187"/>
      <w:r w:rsidRPr="00BC1D5F">
        <w:t>University Fees</w:t>
      </w:r>
      <w:bookmarkEnd w:id="22"/>
    </w:p>
    <w:p w14:paraId="5EDD6E9C" w14:textId="77777777" w:rsidR="0026151F" w:rsidRPr="00BC1D5F" w:rsidRDefault="00D518E8" w:rsidP="0026151F">
      <w:r w:rsidRPr="00BC1D5F">
        <w:t>University Fees represent all non-service center fees on campus. There are three distinct categories based on level of approval required.</w:t>
      </w:r>
    </w:p>
    <w:p w14:paraId="6FE92DD0" w14:textId="77777777" w:rsidR="0026151F" w:rsidRPr="00BC1D5F" w:rsidRDefault="00D518E8" w:rsidP="0026151F">
      <w:pPr>
        <w:pStyle w:val="subsectionno"/>
        <w:numPr>
          <w:ilvl w:val="0"/>
          <w:numId w:val="33"/>
        </w:numPr>
      </w:pPr>
      <w:r w:rsidRPr="00F035E1">
        <w:rPr>
          <w:b/>
        </w:rPr>
        <w:t xml:space="preserve">SUNY Board of Trustee Approved Fees </w:t>
      </w:r>
      <w:r w:rsidRPr="00BC1D5F">
        <w:t xml:space="preserve">- University-wide fees paid by students as a condition of attendance. Examples include comprehensive fee, admission deposits, etc.  </w:t>
      </w:r>
    </w:p>
    <w:p w14:paraId="5F8F67EA" w14:textId="77777777" w:rsidR="0026151F" w:rsidRPr="00BC1D5F" w:rsidRDefault="00D518E8" w:rsidP="0026151F">
      <w:pPr>
        <w:pStyle w:val="subsectionno"/>
        <w:numPr>
          <w:ilvl w:val="0"/>
          <w:numId w:val="18"/>
        </w:numPr>
      </w:pPr>
      <w:r w:rsidRPr="00BC1D5F">
        <w:rPr>
          <w:b/>
        </w:rPr>
        <w:t>SUNY Chancellor Approved Fees</w:t>
      </w:r>
      <w:r w:rsidRPr="00BC1D5F">
        <w:t xml:space="preserve"> - Mandatory student fees with set amounts assessed by all campuses due to a student's action or inaction, campus-specific fees for special services or campus-specific user fees. Examples include undergraduate application fees, music instrument rental, library fees and fines, etc.</w:t>
      </w:r>
      <w:r w:rsidRPr="00BC1D5F">
        <w:tab/>
      </w:r>
    </w:p>
    <w:p w14:paraId="1B9276D1" w14:textId="77777777" w:rsidR="0026151F" w:rsidRPr="00BC1D5F" w:rsidRDefault="00D518E8" w:rsidP="0026151F">
      <w:pPr>
        <w:pStyle w:val="subsectionno"/>
        <w:numPr>
          <w:ilvl w:val="0"/>
          <w:numId w:val="18"/>
        </w:numPr>
      </w:pPr>
      <w:r w:rsidRPr="00BC1D5F">
        <w:rPr>
          <w:b/>
        </w:rPr>
        <w:lastRenderedPageBreak/>
        <w:t>Campus Approved Fees</w:t>
      </w:r>
      <w:r w:rsidRPr="00BC1D5F">
        <w:t xml:space="preserve"> - Customer fees for services.  Examples include non-credit bearing course fees, residence hall charges, etc.</w:t>
      </w:r>
      <w:r w:rsidRPr="00BC1D5F">
        <w:tab/>
      </w:r>
    </w:p>
    <w:p w14:paraId="5CE4FE99" w14:textId="77777777" w:rsidR="0026151F" w:rsidRPr="00BC1D5F" w:rsidRDefault="00D518E8" w:rsidP="0026151F">
      <w:pPr>
        <w:pStyle w:val="LearnMore0"/>
      </w:pPr>
      <w:r w:rsidRPr="00BC1D5F">
        <w:t xml:space="preserve">Learn more about </w:t>
      </w:r>
      <w:hyperlink r:id="rId31" w:history="1">
        <w:r w:rsidR="0026151F" w:rsidRPr="00BC1D5F">
          <w:rPr>
            <w:rStyle w:val="Hyperlink"/>
            <w:b/>
            <w:i w:val="0"/>
            <w:color w:val="0070C0"/>
          </w:rPr>
          <w:t>University Fees</w:t>
        </w:r>
      </w:hyperlink>
      <w:r w:rsidRPr="00BC1D5F">
        <w:t xml:space="preserve"> </w:t>
      </w:r>
    </w:p>
    <w:p w14:paraId="58082925" w14:textId="77777777" w:rsidR="003856EE" w:rsidRPr="00BC1D5F" w:rsidRDefault="00D518E8" w:rsidP="0026151F">
      <w:pPr>
        <w:pStyle w:val="Level2"/>
        <w:numPr>
          <w:ilvl w:val="0"/>
          <w:numId w:val="32"/>
        </w:numPr>
      </w:pPr>
      <w:bookmarkStart w:id="23" w:name="_Toc236305188"/>
      <w:r w:rsidRPr="00BC1D5F">
        <w:t>General University Service Fee (GUSF)</w:t>
      </w:r>
      <w:bookmarkEnd w:id="23"/>
    </w:p>
    <w:p w14:paraId="4C1F4A0E" w14:textId="77777777" w:rsidR="003856EE" w:rsidRPr="00BC1D5F" w:rsidRDefault="00D518E8" w:rsidP="003856EE">
      <w:r w:rsidRPr="00BC1D5F">
        <w:t xml:space="preserve">GUSF of 13% remains in effect and is charged on external revenue deposited into Income Fund Reimbursable (IFR), University at Buffalo Foundation (UBF), Research Foundation (RF), or Faculty Student Association (Campus Dining and Shops) accounts as outlined in the Disclosure of All Funds Policy. </w:t>
      </w:r>
    </w:p>
    <w:p w14:paraId="6768DE37" w14:textId="77777777" w:rsidR="003856EE" w:rsidRPr="00BC1D5F" w:rsidRDefault="00D518E8" w:rsidP="003856EE">
      <w:pPr>
        <w:pStyle w:val="LearnMore0"/>
      </w:pPr>
      <w:r w:rsidRPr="00BC1D5F">
        <w:t xml:space="preserve">Learn more about </w:t>
      </w:r>
      <w:hyperlink r:id="rId32" w:history="1">
        <w:r w:rsidR="003856EE" w:rsidRPr="00BC1D5F">
          <w:rPr>
            <w:rStyle w:val="Hyperlink"/>
            <w:b/>
            <w:i w:val="0"/>
            <w:color w:val="0070C0"/>
          </w:rPr>
          <w:t>General University Service Fee (GUSF)</w:t>
        </w:r>
      </w:hyperlink>
      <w:r w:rsidRPr="00BC1D5F">
        <w:t xml:space="preserve"> </w:t>
      </w:r>
    </w:p>
    <w:p w14:paraId="3D21C9BC" w14:textId="77777777" w:rsidR="003856EE" w:rsidRPr="00BC1D5F" w:rsidRDefault="00D518E8" w:rsidP="003B5D4A">
      <w:pPr>
        <w:pStyle w:val="Level2"/>
        <w:numPr>
          <w:ilvl w:val="0"/>
          <w:numId w:val="32"/>
        </w:numPr>
      </w:pPr>
      <w:bookmarkStart w:id="24" w:name="_Toc236305189"/>
      <w:r w:rsidRPr="00BC1D5F">
        <w:t>Broad-Based Fees</w:t>
      </w:r>
      <w:bookmarkEnd w:id="24"/>
    </w:p>
    <w:p w14:paraId="5444FE66" w14:textId="77777777" w:rsidR="003856EE" w:rsidRPr="00BC1D5F" w:rsidRDefault="00D518E8" w:rsidP="003856EE">
      <w:r w:rsidRPr="00BC1D5F">
        <w:t xml:space="preserve">Broad-based fees are generally charged to all enrolled students to finance discrete activities that benefit the student body, excluding those activities that are part of the core instructional program. During the ARPP, units have the opportunity to share five-year fee requests as well as information on the planned utilization of funds between mandates and strategic investments. The information provided will be considered during the preparation of the university’s final request to SUNY for Broad-Based Fee rate increases. </w:t>
      </w:r>
    </w:p>
    <w:p w14:paraId="75E0655E" w14:textId="77777777" w:rsidR="003856EE" w:rsidRDefault="00D518E8" w:rsidP="003856EE">
      <w:pPr>
        <w:pStyle w:val="LearnMore0"/>
      </w:pPr>
      <w:r w:rsidRPr="00BC1D5F">
        <w:t xml:space="preserve">Learn more about </w:t>
      </w:r>
      <w:hyperlink r:id="rId33" w:history="1">
        <w:r w:rsidR="003856EE" w:rsidRPr="00BC1D5F">
          <w:rPr>
            <w:rStyle w:val="Hyperlink"/>
            <w:b/>
            <w:i w:val="0"/>
            <w:color w:val="0070C0"/>
          </w:rPr>
          <w:t>Broad Based Fees</w:t>
        </w:r>
      </w:hyperlink>
    </w:p>
    <w:p w14:paraId="3C9DD0F1" w14:textId="77777777" w:rsidR="004B1205" w:rsidRPr="00BC1D5F" w:rsidRDefault="00D518E8" w:rsidP="004B1205">
      <w:pPr>
        <w:pStyle w:val="Level3"/>
      </w:pPr>
      <w:r w:rsidRPr="00BC1D5F">
        <w:t>Higher Education Price Index (HEPI)</w:t>
      </w:r>
    </w:p>
    <w:p w14:paraId="0D6588E4" w14:textId="77777777" w:rsidR="004B1205" w:rsidRPr="00BC1D5F" w:rsidRDefault="00D518E8" w:rsidP="004B1205">
      <w:r w:rsidRPr="00BC1D5F">
        <w:t xml:space="preserve">The current fee policies state that “Annual Broad-Based Fee increases should be no greater than the Higher Education Price Index (HEPI) unless there is a compelling case.” For </w:t>
      </w:r>
      <w:sdt>
        <w:sdtPr>
          <w:alias w:val="CurrentYear XXXX/XXXX"/>
          <w:tag w:val="&lt;ReportPackage&gt;&lt;Variable id=&quot;75ef574e-6368-4639-bee0-3a88537f0c27&quot; usageType=&quot;Value&quot; /&gt;&lt;/ReportPackage&gt;"/>
          <w:id w:val="-783653585"/>
          <w:placeholder>
            <w:docPart w:val="86A1A541C73F4D32AC7D4B0E2B0AD475"/>
          </w:placeholder>
          <w:text/>
        </w:sdtPr>
        <w:sdtEndPr/>
        <w:sdtContent>
          <w:r w:rsidRPr="00BC1D5F">
            <w:t>2026/2027</w:t>
          </w:r>
        </w:sdtContent>
      </w:sdt>
      <w:r w:rsidRPr="00BC1D5F">
        <w:t xml:space="preserve">, assume the maximum annual broad-based fee weighted average HEPI percentage to </w:t>
      </w:r>
      <w:r w:rsidRPr="00BD34D5">
        <w:t>be 3.8%.</w:t>
      </w:r>
      <w:r w:rsidRPr="00BC1D5F">
        <w:t xml:space="preserve">  </w:t>
      </w:r>
    </w:p>
    <w:p w14:paraId="0B41566B" w14:textId="77777777" w:rsidR="004B1205" w:rsidRPr="00BC1D5F" w:rsidRDefault="00D518E8" w:rsidP="004B1205">
      <w:pPr>
        <w:pStyle w:val="LearnMore0"/>
      </w:pPr>
      <w:r w:rsidRPr="00BC1D5F">
        <w:t xml:space="preserve">Learn more about </w:t>
      </w:r>
      <w:hyperlink r:id="rId34" w:history="1">
        <w:r w:rsidR="004B1205" w:rsidRPr="00BC1D5F">
          <w:rPr>
            <w:rStyle w:val="Hyperlink"/>
            <w:b/>
            <w:i w:val="0"/>
            <w:color w:val="0070C0"/>
          </w:rPr>
          <w:t>Higher Education Price Index (HEPI)</w:t>
        </w:r>
      </w:hyperlink>
    </w:p>
    <w:p w14:paraId="649CF433" w14:textId="77777777" w:rsidR="004B1205" w:rsidRPr="00BC1D5F" w:rsidRDefault="00D518E8" w:rsidP="003B5D4A">
      <w:pPr>
        <w:pStyle w:val="Level2"/>
        <w:numPr>
          <w:ilvl w:val="0"/>
          <w:numId w:val="32"/>
        </w:numPr>
      </w:pPr>
      <w:bookmarkStart w:id="25" w:name="_Toc236305190"/>
      <w:r w:rsidRPr="00BC1D5F">
        <w:t xml:space="preserve">Salary Recovery </w:t>
      </w:r>
      <w:r>
        <w:t>Fee</w:t>
      </w:r>
      <w:bookmarkEnd w:id="25"/>
    </w:p>
    <w:p w14:paraId="7451449B" w14:textId="77777777" w:rsidR="004B1205" w:rsidRPr="00BC1D5F" w:rsidRDefault="00D518E8" w:rsidP="004B1205">
      <w:r w:rsidRPr="00BC1D5F">
        <w:t xml:space="preserve">The Salary Recovery Fee is a flat fee, charged at a rate of 20% on Salary Recovery funds deposited into Income Fund Reimbursable (IFR) accounts. These funds help to preserve research infrastructures, services, and faculty compensation. Salary </w:t>
      </w:r>
      <w:r w:rsidRPr="00BC1D5F">
        <w:lastRenderedPageBreak/>
        <w:t xml:space="preserve">recovery funds are considered core state support reimbursing the state for faculty member time spent conducting research.  </w:t>
      </w:r>
    </w:p>
    <w:p w14:paraId="6CC1E6B7" w14:textId="77777777" w:rsidR="004B1205" w:rsidRPr="00BC1D5F" w:rsidRDefault="00D518E8" w:rsidP="004B1205">
      <w:pPr>
        <w:pStyle w:val="learnmore"/>
      </w:pPr>
      <w:r w:rsidRPr="00BC1D5F">
        <w:rPr>
          <w:b w:val="0"/>
          <w:bCs/>
          <w:sz w:val="24"/>
        </w:rPr>
        <w:t>Learn more about the</w:t>
      </w:r>
      <w:r w:rsidRPr="00BC1D5F">
        <w:rPr>
          <w:sz w:val="24"/>
        </w:rPr>
        <w:t xml:space="preserve"> </w:t>
      </w:r>
      <w:hyperlink r:id="rId35" w:anchor="undefined" w:history="1">
        <w:r w:rsidR="004B1205" w:rsidRPr="00BC1D5F">
          <w:rPr>
            <w:rStyle w:val="Hyperlink"/>
            <w:i w:val="0"/>
            <w:color w:val="0070C0"/>
            <w:sz w:val="24"/>
          </w:rPr>
          <w:t>Salary Recovery Fee</w:t>
        </w:r>
      </w:hyperlink>
    </w:p>
    <w:p w14:paraId="65BCF6C9" w14:textId="77777777" w:rsidR="0026151F" w:rsidRPr="00BC1D5F" w:rsidRDefault="00D518E8" w:rsidP="0026151F">
      <w:pPr>
        <w:pStyle w:val="Level2"/>
        <w:numPr>
          <w:ilvl w:val="0"/>
          <w:numId w:val="32"/>
        </w:numPr>
      </w:pPr>
      <w:bookmarkStart w:id="26" w:name="_Toc236305191"/>
      <w:r w:rsidRPr="00BC1D5F">
        <w:t>Service Center Fees</w:t>
      </w:r>
      <w:bookmarkEnd w:id="26"/>
    </w:p>
    <w:p w14:paraId="1D54640C" w14:textId="77777777" w:rsidR="0026151F" w:rsidRPr="00BC1D5F" w:rsidRDefault="00D518E8" w:rsidP="0026151F">
      <w:r w:rsidRPr="00BC1D5F">
        <w:t>Service centers provide services that support the internal operations of the university or can provide services to external users. Service center fees recover the cost of operations of the service center.</w:t>
      </w:r>
    </w:p>
    <w:p w14:paraId="498EF0D5" w14:textId="77777777" w:rsidR="0026151F" w:rsidRPr="00BC1D5F" w:rsidRDefault="00D518E8" w:rsidP="0026151F">
      <w:pPr>
        <w:pStyle w:val="LearnMore0"/>
      </w:pPr>
      <w:r w:rsidRPr="00BC1D5F">
        <w:t xml:space="preserve">Learn more about </w:t>
      </w:r>
      <w:hyperlink r:id="rId36" w:anchor="servicecenterfees" w:history="1">
        <w:r w:rsidR="0026151F" w:rsidRPr="00BC1D5F">
          <w:rPr>
            <w:rStyle w:val="Hyperlink"/>
            <w:b/>
            <w:i w:val="0"/>
            <w:color w:val="0070C0"/>
          </w:rPr>
          <w:t>Service Center Fees</w:t>
        </w:r>
      </w:hyperlink>
    </w:p>
    <w:p w14:paraId="0BB9F85E" w14:textId="77777777" w:rsidR="0026151F" w:rsidRPr="00BC1D5F" w:rsidRDefault="00D518E8" w:rsidP="0026151F">
      <w:pPr>
        <w:pStyle w:val="LearnMore0"/>
      </w:pPr>
      <w:r w:rsidRPr="00BC1D5F">
        <w:t xml:space="preserve">Learn more about </w:t>
      </w:r>
      <w:hyperlink r:id="rId37" w:history="1">
        <w:r w:rsidR="0026151F" w:rsidRPr="00BC1D5F">
          <w:rPr>
            <w:rStyle w:val="Hyperlink"/>
            <w:b/>
            <w:i w:val="0"/>
            <w:color w:val="0070C0"/>
          </w:rPr>
          <w:t>Financial Management of Service Centers Policy</w:t>
        </w:r>
      </w:hyperlink>
    </w:p>
    <w:p w14:paraId="7879F195" w14:textId="77777777" w:rsidR="003856EE" w:rsidRPr="00BC1D5F" w:rsidRDefault="00D518E8" w:rsidP="003B5D4A">
      <w:pPr>
        <w:pStyle w:val="Level2"/>
        <w:numPr>
          <w:ilvl w:val="0"/>
          <w:numId w:val="25"/>
        </w:numPr>
        <w:ind w:left="1080"/>
      </w:pPr>
      <w:bookmarkStart w:id="27" w:name="_Toc236305192"/>
      <w:r w:rsidRPr="00BC1D5F">
        <w:t>Faculty &amp; Staff</w:t>
      </w:r>
      <w:bookmarkEnd w:id="27"/>
    </w:p>
    <w:p w14:paraId="7935CD3F" w14:textId="77777777" w:rsidR="003856EE" w:rsidRPr="00BC1D5F" w:rsidRDefault="00D518E8" w:rsidP="003856EE">
      <w:pPr>
        <w:pStyle w:val="Level3"/>
      </w:pPr>
      <w:r w:rsidRPr="00BC1D5F">
        <w:t>Fringe Benefits Rates</w:t>
      </w:r>
    </w:p>
    <w:p w14:paraId="200FEE4A" w14:textId="77777777" w:rsidR="003856EE" w:rsidRPr="00BC1D5F" w:rsidRDefault="00D518E8" w:rsidP="003856EE">
      <w:r w:rsidRPr="00BC1D5F">
        <w:t xml:space="preserve">Fringe benefits are part of a regular employee's remuneration package that is not pay </w:t>
      </w:r>
      <w:r w:rsidRPr="00BC1D5F">
        <w:rPr>
          <w:i/>
          <w:iCs/>
        </w:rPr>
        <w:t>(expressed as a percentage</w:t>
      </w:r>
      <w:r w:rsidRPr="00BC1D5F">
        <w:t>), which may or may not be charged directly to an account. This includes payroll taxes, health insurance, retirement and other benefits. For State Operating accounts, these benefits are paid directly through the office of the State Controller and are not charged to campus accounts.</w:t>
      </w:r>
    </w:p>
    <w:p w14:paraId="1E353EDD" w14:textId="77777777" w:rsidR="003856EE" w:rsidRPr="00BC1D5F" w:rsidRDefault="00D518E8" w:rsidP="003856EE">
      <w:pPr>
        <w:pStyle w:val="learnmore"/>
        <w:rPr>
          <w:sz w:val="24"/>
        </w:rPr>
      </w:pPr>
      <w:r w:rsidRPr="00BC1D5F">
        <w:rPr>
          <w:b w:val="0"/>
          <w:bCs/>
          <w:sz w:val="24"/>
        </w:rPr>
        <w:t xml:space="preserve">Learn more about </w:t>
      </w:r>
      <w:hyperlink r:id="rId38" w:anchor="fringe" w:history="1">
        <w:r w:rsidR="003856EE" w:rsidRPr="00BC1D5F">
          <w:rPr>
            <w:rStyle w:val="Hyperlink"/>
            <w:i w:val="0"/>
            <w:color w:val="0070C0"/>
            <w:sz w:val="24"/>
          </w:rPr>
          <w:t>Fringe Rates</w:t>
        </w:r>
      </w:hyperlink>
    </w:p>
    <w:p w14:paraId="7BB95DAD" w14:textId="77777777" w:rsidR="004B1205" w:rsidRPr="00BC1D5F" w:rsidRDefault="00D518E8" w:rsidP="0026151F">
      <w:pPr>
        <w:pStyle w:val="Level2"/>
        <w:numPr>
          <w:ilvl w:val="0"/>
          <w:numId w:val="43"/>
        </w:numPr>
      </w:pPr>
      <w:bookmarkStart w:id="28" w:name="_Toc236305193"/>
      <w:r w:rsidRPr="00BC1D5F">
        <w:t>Campus Dining and Campus Living Rates</w:t>
      </w:r>
      <w:bookmarkEnd w:id="28"/>
    </w:p>
    <w:p w14:paraId="114BBB4C" w14:textId="77777777" w:rsidR="004B1205" w:rsidRPr="00BC1D5F" w:rsidRDefault="00D518E8" w:rsidP="004B1205">
      <w:r w:rsidRPr="00BC1D5F">
        <w:t xml:space="preserve">Campus dining rates and campus housing rates are evaluated on an annual basis and may be subject to adjustments. Senior leadership works with the Vice President for Student Life to review these rates amongst a student’s total cost of attendance.  </w:t>
      </w:r>
    </w:p>
    <w:p w14:paraId="215D196B" w14:textId="77777777" w:rsidR="004B1205" w:rsidRPr="00BC1D5F" w:rsidRDefault="00D518E8" w:rsidP="004B1205">
      <w:pPr>
        <w:pStyle w:val="learnmore"/>
      </w:pPr>
      <w:r w:rsidRPr="00BC1D5F">
        <w:rPr>
          <w:b w:val="0"/>
          <w:bCs/>
          <w:sz w:val="24"/>
        </w:rPr>
        <w:t>Learn more about</w:t>
      </w:r>
      <w:r w:rsidRPr="00BC1D5F">
        <w:rPr>
          <w:sz w:val="24"/>
        </w:rPr>
        <w:t xml:space="preserve"> </w:t>
      </w:r>
      <w:hyperlink r:id="rId39" w:history="1">
        <w:r w:rsidR="004B1205" w:rsidRPr="00BC1D5F">
          <w:rPr>
            <w:rStyle w:val="Hyperlink"/>
            <w:i w:val="0"/>
            <w:color w:val="0070C0"/>
            <w:sz w:val="24"/>
          </w:rPr>
          <w:t>campus meal plans</w:t>
        </w:r>
      </w:hyperlink>
      <w:r w:rsidRPr="00BC1D5F">
        <w:t xml:space="preserve"> </w:t>
      </w:r>
      <w:r w:rsidRPr="00BC1D5F">
        <w:rPr>
          <w:b w:val="0"/>
          <w:bCs/>
        </w:rPr>
        <w:t>and</w:t>
      </w:r>
      <w:r w:rsidRPr="00BC1D5F">
        <w:t xml:space="preserve"> </w:t>
      </w:r>
      <w:hyperlink r:id="rId40" w:history="1">
        <w:r w:rsidR="004B1205" w:rsidRPr="00BC1D5F">
          <w:rPr>
            <w:rStyle w:val="Hyperlink"/>
            <w:i w:val="0"/>
            <w:color w:val="0070C0"/>
            <w:sz w:val="24"/>
          </w:rPr>
          <w:t>campus housing costs</w:t>
        </w:r>
      </w:hyperlink>
      <w:r w:rsidRPr="00BC1D5F">
        <w:rPr>
          <w:rStyle w:val="Hyperlink"/>
          <w:i w:val="0"/>
          <w:color w:val="0070C0"/>
          <w:sz w:val="24"/>
        </w:rPr>
        <w:t xml:space="preserve"> </w:t>
      </w:r>
    </w:p>
    <w:p w14:paraId="0BA4EA4D" w14:textId="77777777" w:rsidR="003856EE" w:rsidRPr="00BC1D5F" w:rsidRDefault="00D518E8" w:rsidP="003B5D4A">
      <w:pPr>
        <w:pStyle w:val="Level2"/>
        <w:numPr>
          <w:ilvl w:val="0"/>
          <w:numId w:val="27"/>
        </w:numPr>
        <w:ind w:left="1080"/>
      </w:pPr>
      <w:bookmarkStart w:id="29" w:name="_Toc236305194"/>
      <w:r w:rsidRPr="00BC1D5F">
        <w:t>Royalty and Patent Income</w:t>
      </w:r>
      <w:bookmarkEnd w:id="29"/>
    </w:p>
    <w:p w14:paraId="50BD49F0" w14:textId="77777777" w:rsidR="003856EE" w:rsidRDefault="00D518E8" w:rsidP="00B716E7">
      <w:pPr>
        <w:rPr>
          <w:rFonts w:eastAsiaTheme="minorHAnsi"/>
        </w:rPr>
      </w:pPr>
      <w:r w:rsidRPr="00BC1D5F">
        <w:rPr>
          <w:rFonts w:eastAsiaTheme="minorHAnsi"/>
        </w:rPr>
        <w:t>Central university funding for Royalty and Patent Income is part of the university Internal Financial Plan and is committed based on the recommendation and approval of the Provost, Vice President of Finance and Administration and President as part of the AARP.</w:t>
      </w:r>
    </w:p>
    <w:p w14:paraId="08CA5E59" w14:textId="77777777" w:rsidR="003856EE" w:rsidRPr="001269AC" w:rsidRDefault="00D518E8" w:rsidP="003856EE">
      <w:pPr>
        <w:keepNext/>
        <w:keepLines/>
        <w:pBdr>
          <w:bottom w:val="single" w:sz="4" w:space="2" w:color="E56A54" w:themeColor="accent2"/>
        </w:pBdr>
        <w:spacing w:before="360" w:after="120"/>
        <w:ind w:left="0"/>
        <w:outlineLvl w:val="0"/>
        <w:rPr>
          <w:rFonts w:eastAsiaTheme="majorEastAsia" w:cstheme="majorBidi"/>
          <w:color w:val="002F56"/>
          <w:sz w:val="36"/>
          <w:szCs w:val="40"/>
        </w:rPr>
      </w:pPr>
      <w:bookmarkStart w:id="30" w:name="_Toc236305195"/>
      <w:r w:rsidRPr="001269AC">
        <w:rPr>
          <w:rFonts w:eastAsiaTheme="majorEastAsia" w:cstheme="majorBidi"/>
          <w:color w:val="002F56"/>
          <w:sz w:val="36"/>
          <w:szCs w:val="40"/>
        </w:rPr>
        <w:lastRenderedPageBreak/>
        <w:t>Unit Budget</w:t>
      </w:r>
      <w:r w:rsidR="00B716E7">
        <w:rPr>
          <w:rFonts w:eastAsiaTheme="majorEastAsia" w:cstheme="majorBidi"/>
          <w:color w:val="002F56"/>
          <w:sz w:val="36"/>
          <w:szCs w:val="40"/>
        </w:rPr>
        <w:t>s</w:t>
      </w:r>
      <w:bookmarkEnd w:id="30"/>
    </w:p>
    <w:p w14:paraId="56922DDC" w14:textId="77777777" w:rsidR="003856EE" w:rsidRPr="005F6F94" w:rsidRDefault="00D518E8" w:rsidP="003B5D4A">
      <w:pPr>
        <w:pStyle w:val="ListParagraph"/>
        <w:keepNext/>
        <w:keepLines/>
        <w:numPr>
          <w:ilvl w:val="0"/>
          <w:numId w:val="29"/>
        </w:numPr>
        <w:spacing w:before="0" w:after="0" w:line="240" w:lineRule="auto"/>
        <w:outlineLvl w:val="1"/>
        <w:rPr>
          <w:rFonts w:eastAsiaTheme="majorEastAsia" w:cstheme="majorBidi"/>
          <w:color w:val="990000"/>
          <w:sz w:val="32"/>
          <w:szCs w:val="36"/>
        </w:rPr>
      </w:pPr>
      <w:bookmarkStart w:id="31" w:name="_Toc236305196"/>
      <w:r w:rsidRPr="00CF2928">
        <w:rPr>
          <w:rFonts w:eastAsiaTheme="majorEastAsia" w:cstheme="majorBidi"/>
          <w:color w:val="990000"/>
          <w:sz w:val="32"/>
          <w:szCs w:val="36"/>
        </w:rPr>
        <w:t>Decanal Units</w:t>
      </w:r>
      <w:bookmarkEnd w:id="31"/>
    </w:p>
    <w:p w14:paraId="40F62D3C" w14:textId="77777777" w:rsidR="003856EE" w:rsidRDefault="00D518E8" w:rsidP="003856EE">
      <w:pPr>
        <w:spacing w:before="0" w:after="0" w:line="240" w:lineRule="auto"/>
      </w:pPr>
      <w:r w:rsidRPr="001269AC">
        <w:t xml:space="preserve">(in millions) </w:t>
      </w:r>
    </w:p>
    <w:sdt>
      <w:sdtPr>
        <w:alias w:val="Decanal Units"/>
        <w:tag w:val="&lt;ReportPackage&gt;&lt;EmbeddedContent id=&quot;4188c64d-b488-4874-8f73-f925eac7d718&quot; lastModified=&quot;1784723634676&quot;/&gt;&lt;/ReportPackage&gt;"/>
        <w:id w:val="503551918"/>
        <w:lock w:val="contentLocked"/>
        <w:placeholder>
          <w:docPart w:val="2ED78820470C47FFAFB54005205E9995"/>
        </w:placeholder>
      </w:sdtPr>
      <w:sdtEndPr/>
      <w:sdtContent>
        <w:tbl>
          <w:tblPr>
            <w:tblStyle w:val="defRCrp"/>
            <w:tblW w:w="9250" w:type="dxa"/>
            <w:tblCellMar>
              <w:left w:w="0" w:type="dxa"/>
              <w:right w:w="0" w:type="dxa"/>
            </w:tblCellMar>
            <w:tblLook w:val="05E0" w:firstRow="1" w:lastRow="1" w:firstColumn="1" w:lastColumn="1" w:noHBand="0" w:noVBand="1"/>
          </w:tblPr>
          <w:tblGrid>
            <w:gridCol w:w="4493"/>
            <w:gridCol w:w="1182"/>
            <w:gridCol w:w="1213"/>
            <w:gridCol w:w="1153"/>
            <w:gridCol w:w="1209"/>
          </w:tblGrid>
          <w:tr w:rsidR="00E47A96" w14:paraId="0309E2B0" w14:textId="77777777">
            <w:trPr>
              <w:trHeight w:val="375"/>
              <w:tblHeader/>
            </w:trPr>
            <w:tc>
              <w:tcPr>
                <w:tcW w:w="4539" w:type="dxa"/>
                <w:tcBorders>
                  <w:bottom w:val="single" w:sz="6" w:space="0" w:color="000000"/>
                </w:tcBorders>
                <w:shd w:val="clear" w:color="auto" w:fill="E4E4E4"/>
                <w:tcMar>
                  <w:top w:w="0" w:type="dxa"/>
                  <w:left w:w="38" w:type="dxa"/>
                  <w:bottom w:w="0" w:type="dxa"/>
                  <w:right w:w="38" w:type="dxa"/>
                </w:tcMar>
                <w:vAlign w:val="center"/>
                <w:hideMark/>
              </w:tcPr>
              <w:p w14:paraId="3F32283F" w14:textId="77777777" w:rsidR="000F43DC" w:rsidRDefault="000F43DC">
                <w:pPr>
                  <w:spacing w:before="0" w:after="0" w:line="240" w:lineRule="auto"/>
                  <w:ind w:left="0"/>
                  <w:contextualSpacing/>
                  <w:rPr>
                    <w:rFonts w:ascii="Arial" w:eastAsia="Arial" w:hAnsi="Arial" w:cs="Arial"/>
                    <w:color w:val="000000"/>
                    <w:sz w:val="18"/>
                    <w:szCs w:val="18"/>
                  </w:rPr>
                </w:pPr>
              </w:p>
            </w:tc>
            <w:tc>
              <w:tcPr>
                <w:tcW w:w="1270" w:type="dxa"/>
                <w:tcBorders>
                  <w:bottom w:val="single" w:sz="6" w:space="0" w:color="000000"/>
                </w:tcBorders>
                <w:shd w:val="clear" w:color="auto" w:fill="E4E4E4"/>
                <w:tcMar>
                  <w:top w:w="0" w:type="dxa"/>
                  <w:left w:w="38" w:type="dxa"/>
                  <w:bottom w:w="0" w:type="dxa"/>
                  <w:right w:w="38" w:type="dxa"/>
                </w:tcMar>
                <w:hideMark/>
              </w:tcPr>
              <w:p w14:paraId="023EBD60"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Sources</w:t>
                </w:r>
              </w:p>
            </w:tc>
            <w:tc>
              <w:tcPr>
                <w:tcW w:w="1275" w:type="dxa"/>
                <w:tcBorders>
                  <w:bottom w:val="single" w:sz="6" w:space="0" w:color="000000"/>
                </w:tcBorders>
                <w:shd w:val="clear" w:color="auto" w:fill="E4E4E4"/>
                <w:tcMar>
                  <w:top w:w="0" w:type="dxa"/>
                  <w:left w:w="38" w:type="dxa"/>
                  <w:bottom w:w="0" w:type="dxa"/>
                  <w:right w:w="38" w:type="dxa"/>
                </w:tcMar>
                <w:hideMark/>
              </w:tcPr>
              <w:p w14:paraId="3BF3C01A"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 of Total</w:t>
                </w:r>
              </w:p>
            </w:tc>
            <w:tc>
              <w:tcPr>
                <w:tcW w:w="1270" w:type="dxa"/>
                <w:tcBorders>
                  <w:bottom w:val="single" w:sz="6" w:space="0" w:color="000000"/>
                </w:tcBorders>
                <w:shd w:val="clear" w:color="auto" w:fill="E4E4E4"/>
                <w:tcMar>
                  <w:top w:w="0" w:type="dxa"/>
                  <w:left w:w="38" w:type="dxa"/>
                  <w:bottom w:w="0" w:type="dxa"/>
                  <w:right w:w="38" w:type="dxa"/>
                </w:tcMar>
                <w:hideMark/>
              </w:tcPr>
              <w:p w14:paraId="111D7014"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Uses</w:t>
                </w:r>
              </w:p>
            </w:tc>
            <w:tc>
              <w:tcPr>
                <w:tcW w:w="1270" w:type="dxa"/>
                <w:tcBorders>
                  <w:bottom w:val="single" w:sz="6" w:space="0" w:color="000000"/>
                </w:tcBorders>
                <w:shd w:val="clear" w:color="auto" w:fill="E4E4E4"/>
                <w:tcMar>
                  <w:top w:w="0" w:type="dxa"/>
                  <w:left w:w="38" w:type="dxa"/>
                  <w:bottom w:w="0" w:type="dxa"/>
                  <w:right w:w="38" w:type="dxa"/>
                </w:tcMar>
                <w:hideMark/>
              </w:tcPr>
              <w:p w14:paraId="31617673"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 of Total</w:t>
                </w:r>
              </w:p>
            </w:tc>
          </w:tr>
          <w:tr w:rsidR="00E47A96" w14:paraId="5304BE04"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2D4A234D"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College of Arts and Sciences</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1038FEA5"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$148.1</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758DB6D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13.6%</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8AD1B98"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$140.8</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040871D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13.1%</w:t>
                </w:r>
              </w:p>
            </w:tc>
          </w:tr>
          <w:tr w:rsidR="00E47A96" w14:paraId="412E35CB"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77FA8906"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Graduate School of Education</w:t>
                </w:r>
              </w:p>
            </w:tc>
            <w:tc>
              <w:tcPr>
                <w:tcW w:w="1270" w:type="dxa"/>
                <w:tcBorders>
                  <w:bottom w:val="single" w:sz="6" w:space="0" w:color="000000"/>
                </w:tcBorders>
                <w:tcMar>
                  <w:top w:w="0" w:type="dxa"/>
                  <w:left w:w="38" w:type="dxa"/>
                  <w:bottom w:w="0" w:type="dxa"/>
                  <w:right w:w="38" w:type="dxa"/>
                </w:tcMar>
                <w:vAlign w:val="center"/>
                <w:hideMark/>
              </w:tcPr>
              <w:p w14:paraId="6167A8C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$20.8</w:t>
                </w:r>
              </w:p>
            </w:tc>
            <w:tc>
              <w:tcPr>
                <w:tcW w:w="1275" w:type="dxa"/>
                <w:tcBorders>
                  <w:bottom w:val="single" w:sz="6" w:space="0" w:color="000000"/>
                </w:tcBorders>
                <w:tcMar>
                  <w:top w:w="0" w:type="dxa"/>
                  <w:left w:w="38" w:type="dxa"/>
                  <w:bottom w:w="0" w:type="dxa"/>
                  <w:right w:w="38" w:type="dxa"/>
                </w:tcMar>
                <w:vAlign w:val="center"/>
                <w:hideMark/>
              </w:tcPr>
              <w:p w14:paraId="60C204C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1.9%</w:t>
                </w:r>
              </w:p>
            </w:tc>
            <w:tc>
              <w:tcPr>
                <w:tcW w:w="1270" w:type="dxa"/>
                <w:tcBorders>
                  <w:bottom w:val="single" w:sz="6" w:space="0" w:color="000000"/>
                </w:tcBorders>
                <w:tcMar>
                  <w:top w:w="0" w:type="dxa"/>
                  <w:left w:w="38" w:type="dxa"/>
                  <w:bottom w:w="0" w:type="dxa"/>
                  <w:right w:w="38" w:type="dxa"/>
                </w:tcMar>
                <w:vAlign w:val="center"/>
                <w:hideMark/>
              </w:tcPr>
              <w:p w14:paraId="0E3EFCA6"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$22.9</w:t>
                </w:r>
              </w:p>
            </w:tc>
            <w:tc>
              <w:tcPr>
                <w:tcW w:w="1270" w:type="dxa"/>
                <w:tcBorders>
                  <w:bottom w:val="single" w:sz="6" w:space="0" w:color="000000"/>
                </w:tcBorders>
                <w:tcMar>
                  <w:top w:w="0" w:type="dxa"/>
                  <w:left w:w="38" w:type="dxa"/>
                  <w:bottom w:w="0" w:type="dxa"/>
                  <w:right w:w="38" w:type="dxa"/>
                </w:tcMar>
                <w:vAlign w:val="center"/>
                <w:hideMark/>
              </w:tcPr>
              <w:p w14:paraId="216F2D6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2.1%</w:t>
                </w:r>
              </w:p>
            </w:tc>
          </w:tr>
          <w:tr w:rsidR="00E47A96" w14:paraId="2C0170D2"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24D27102"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Jacobs School of Medicine and Biomedical Sciences</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38461F69"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$152.7</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752FD62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14.0%</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4736D22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$150.7</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1D283EE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14.0%</w:t>
                </w:r>
              </w:p>
            </w:tc>
          </w:tr>
          <w:tr w:rsidR="00E47A96" w14:paraId="28848DBC"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4E51E069"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Architecture and Planning</w:t>
                </w:r>
              </w:p>
            </w:tc>
            <w:tc>
              <w:tcPr>
                <w:tcW w:w="1270" w:type="dxa"/>
                <w:tcBorders>
                  <w:bottom w:val="single" w:sz="6" w:space="0" w:color="000000"/>
                </w:tcBorders>
                <w:tcMar>
                  <w:top w:w="0" w:type="dxa"/>
                  <w:left w:w="38" w:type="dxa"/>
                  <w:bottom w:w="0" w:type="dxa"/>
                  <w:right w:w="38" w:type="dxa"/>
                </w:tcMar>
                <w:vAlign w:val="center"/>
                <w:hideMark/>
              </w:tcPr>
              <w:p w14:paraId="361AF7D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$11.2</w:t>
                </w:r>
              </w:p>
            </w:tc>
            <w:tc>
              <w:tcPr>
                <w:tcW w:w="1275" w:type="dxa"/>
                <w:tcBorders>
                  <w:bottom w:val="single" w:sz="6" w:space="0" w:color="000000"/>
                </w:tcBorders>
                <w:tcMar>
                  <w:top w:w="0" w:type="dxa"/>
                  <w:left w:w="38" w:type="dxa"/>
                  <w:bottom w:w="0" w:type="dxa"/>
                  <w:right w:w="38" w:type="dxa"/>
                </w:tcMar>
                <w:vAlign w:val="center"/>
                <w:hideMark/>
              </w:tcPr>
              <w:p w14:paraId="43A372F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w:t>
                </w:r>
              </w:p>
            </w:tc>
            <w:tc>
              <w:tcPr>
                <w:tcW w:w="1270" w:type="dxa"/>
                <w:tcBorders>
                  <w:bottom w:val="single" w:sz="6" w:space="0" w:color="000000"/>
                </w:tcBorders>
                <w:tcMar>
                  <w:top w:w="0" w:type="dxa"/>
                  <w:left w:w="38" w:type="dxa"/>
                  <w:bottom w:w="0" w:type="dxa"/>
                  <w:right w:w="38" w:type="dxa"/>
                </w:tcMar>
                <w:vAlign w:val="center"/>
                <w:hideMark/>
              </w:tcPr>
              <w:p w14:paraId="707F12FF"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$12.9</w:t>
                </w:r>
              </w:p>
            </w:tc>
            <w:tc>
              <w:tcPr>
                <w:tcW w:w="1270" w:type="dxa"/>
                <w:tcBorders>
                  <w:bottom w:val="single" w:sz="6" w:space="0" w:color="000000"/>
                </w:tcBorders>
                <w:tcMar>
                  <w:top w:w="0" w:type="dxa"/>
                  <w:left w:w="38" w:type="dxa"/>
                  <w:bottom w:w="0" w:type="dxa"/>
                  <w:right w:w="38" w:type="dxa"/>
                </w:tcMar>
                <w:vAlign w:val="center"/>
                <w:hideMark/>
              </w:tcPr>
              <w:p w14:paraId="5608BE97"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1.2%</w:t>
                </w:r>
              </w:p>
            </w:tc>
          </w:tr>
          <w:tr w:rsidR="00E47A96" w14:paraId="5AB83F83"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003E27D6"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Dental Medicine</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6B8AFB9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$47.1</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4DE3525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4.3%</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24DB6E9D"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$50.0</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112F32B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4.7%</w:t>
                </w:r>
              </w:p>
            </w:tc>
          </w:tr>
          <w:tr w:rsidR="00E47A96" w14:paraId="10110BCC"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6969598E"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Engineering and Applied Sciences</w:t>
                </w:r>
              </w:p>
            </w:tc>
            <w:tc>
              <w:tcPr>
                <w:tcW w:w="1270" w:type="dxa"/>
                <w:tcBorders>
                  <w:bottom w:val="single" w:sz="6" w:space="0" w:color="000000"/>
                </w:tcBorders>
                <w:tcMar>
                  <w:top w:w="0" w:type="dxa"/>
                  <w:left w:w="38" w:type="dxa"/>
                  <w:bottom w:w="0" w:type="dxa"/>
                  <w:right w:w="38" w:type="dxa"/>
                </w:tcMar>
                <w:vAlign w:val="center"/>
                <w:hideMark/>
              </w:tcPr>
              <w:p w14:paraId="099D9C0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$84.2</w:t>
                </w:r>
              </w:p>
            </w:tc>
            <w:tc>
              <w:tcPr>
                <w:tcW w:w="1275" w:type="dxa"/>
                <w:tcBorders>
                  <w:bottom w:val="single" w:sz="6" w:space="0" w:color="000000"/>
                </w:tcBorders>
                <w:tcMar>
                  <w:top w:w="0" w:type="dxa"/>
                  <w:left w:w="38" w:type="dxa"/>
                  <w:bottom w:w="0" w:type="dxa"/>
                  <w:right w:w="38" w:type="dxa"/>
                </w:tcMar>
                <w:vAlign w:val="center"/>
                <w:hideMark/>
              </w:tcPr>
              <w:p w14:paraId="7E780458"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7.7%</w:t>
                </w:r>
              </w:p>
            </w:tc>
            <w:tc>
              <w:tcPr>
                <w:tcW w:w="1270" w:type="dxa"/>
                <w:tcBorders>
                  <w:bottom w:val="single" w:sz="6" w:space="0" w:color="000000"/>
                </w:tcBorders>
                <w:tcMar>
                  <w:top w:w="0" w:type="dxa"/>
                  <w:left w:w="38" w:type="dxa"/>
                  <w:bottom w:w="0" w:type="dxa"/>
                  <w:right w:w="38" w:type="dxa"/>
                </w:tcMar>
                <w:vAlign w:val="center"/>
                <w:hideMark/>
              </w:tcPr>
              <w:p w14:paraId="5D4BA691"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$85.6</w:t>
                </w:r>
              </w:p>
            </w:tc>
            <w:tc>
              <w:tcPr>
                <w:tcW w:w="1270" w:type="dxa"/>
                <w:tcBorders>
                  <w:bottom w:val="single" w:sz="6" w:space="0" w:color="000000"/>
                </w:tcBorders>
                <w:tcMar>
                  <w:top w:w="0" w:type="dxa"/>
                  <w:left w:w="38" w:type="dxa"/>
                  <w:bottom w:w="0" w:type="dxa"/>
                  <w:right w:w="38" w:type="dxa"/>
                </w:tcMar>
                <w:vAlign w:val="center"/>
                <w:hideMark/>
              </w:tcPr>
              <w:p w14:paraId="3A41F998"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8.0%</w:t>
                </w:r>
              </w:p>
            </w:tc>
          </w:tr>
          <w:tr w:rsidR="00E47A96" w14:paraId="2B1A8A8D"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78FE40D6"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Law</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4D0A46A1"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$20.5</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1E44761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1.9%</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4374186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$20.9</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7D896B5"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1.9%</w:t>
                </w:r>
              </w:p>
            </w:tc>
          </w:tr>
          <w:tr w:rsidR="00E47A96" w14:paraId="480E1D2B"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3442132C"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Management</w:t>
                </w:r>
              </w:p>
            </w:tc>
            <w:tc>
              <w:tcPr>
                <w:tcW w:w="1270" w:type="dxa"/>
                <w:tcBorders>
                  <w:bottom w:val="single" w:sz="6" w:space="0" w:color="000000"/>
                </w:tcBorders>
                <w:tcMar>
                  <w:top w:w="0" w:type="dxa"/>
                  <w:left w:w="38" w:type="dxa"/>
                  <w:bottom w:w="0" w:type="dxa"/>
                  <w:right w:w="38" w:type="dxa"/>
                </w:tcMar>
                <w:vAlign w:val="center"/>
                <w:hideMark/>
              </w:tcPr>
              <w:p w14:paraId="65E6518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$37.1</w:t>
                </w:r>
              </w:p>
            </w:tc>
            <w:tc>
              <w:tcPr>
                <w:tcW w:w="1275" w:type="dxa"/>
                <w:tcBorders>
                  <w:bottom w:val="single" w:sz="6" w:space="0" w:color="000000"/>
                </w:tcBorders>
                <w:tcMar>
                  <w:top w:w="0" w:type="dxa"/>
                  <w:left w:w="38" w:type="dxa"/>
                  <w:bottom w:w="0" w:type="dxa"/>
                  <w:right w:w="38" w:type="dxa"/>
                </w:tcMar>
                <w:vAlign w:val="center"/>
                <w:hideMark/>
              </w:tcPr>
              <w:p w14:paraId="4FD394D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3.4%</w:t>
                </w:r>
              </w:p>
            </w:tc>
            <w:tc>
              <w:tcPr>
                <w:tcW w:w="1270" w:type="dxa"/>
                <w:tcBorders>
                  <w:bottom w:val="single" w:sz="6" w:space="0" w:color="000000"/>
                </w:tcBorders>
                <w:tcMar>
                  <w:top w:w="0" w:type="dxa"/>
                  <w:left w:w="38" w:type="dxa"/>
                  <w:bottom w:w="0" w:type="dxa"/>
                  <w:right w:w="38" w:type="dxa"/>
                </w:tcMar>
                <w:vAlign w:val="center"/>
                <w:hideMark/>
              </w:tcPr>
              <w:p w14:paraId="0302F227"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$40.1</w:t>
                </w:r>
              </w:p>
            </w:tc>
            <w:tc>
              <w:tcPr>
                <w:tcW w:w="1270" w:type="dxa"/>
                <w:tcBorders>
                  <w:bottom w:val="single" w:sz="6" w:space="0" w:color="000000"/>
                </w:tcBorders>
                <w:tcMar>
                  <w:top w:w="0" w:type="dxa"/>
                  <w:left w:w="38" w:type="dxa"/>
                  <w:bottom w:w="0" w:type="dxa"/>
                  <w:right w:w="38" w:type="dxa"/>
                </w:tcMar>
                <w:vAlign w:val="center"/>
                <w:hideMark/>
              </w:tcPr>
              <w:p w14:paraId="23106C0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3.7%</w:t>
                </w:r>
              </w:p>
            </w:tc>
          </w:tr>
          <w:tr w:rsidR="00E47A96" w14:paraId="357058D8"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6081E16C"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Nursing</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71B1CE2A"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$14.0</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4D3F0A9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1.3%</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0686C523"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$13.2</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7B45879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1.2%</w:t>
                </w:r>
              </w:p>
            </w:tc>
          </w:tr>
          <w:tr w:rsidR="00E47A96" w14:paraId="70A32CCB"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320D22F9"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Pharmacy and Pharmaceutical Sciences</w:t>
                </w:r>
              </w:p>
            </w:tc>
            <w:tc>
              <w:tcPr>
                <w:tcW w:w="1270" w:type="dxa"/>
                <w:tcBorders>
                  <w:bottom w:val="single" w:sz="6" w:space="0" w:color="000000"/>
                </w:tcBorders>
                <w:tcMar>
                  <w:top w:w="0" w:type="dxa"/>
                  <w:left w:w="38" w:type="dxa"/>
                  <w:bottom w:w="0" w:type="dxa"/>
                  <w:right w:w="38" w:type="dxa"/>
                </w:tcMar>
                <w:vAlign w:val="center"/>
                <w:hideMark/>
              </w:tcPr>
              <w:p w14:paraId="3D036F6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$20.3</w:t>
                </w:r>
              </w:p>
            </w:tc>
            <w:tc>
              <w:tcPr>
                <w:tcW w:w="1275" w:type="dxa"/>
                <w:tcBorders>
                  <w:bottom w:val="single" w:sz="6" w:space="0" w:color="000000"/>
                </w:tcBorders>
                <w:tcMar>
                  <w:top w:w="0" w:type="dxa"/>
                  <w:left w:w="38" w:type="dxa"/>
                  <w:bottom w:w="0" w:type="dxa"/>
                  <w:right w:w="38" w:type="dxa"/>
                </w:tcMar>
                <w:vAlign w:val="center"/>
                <w:hideMark/>
              </w:tcPr>
              <w:p w14:paraId="47D52D5D"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1.9%</w:t>
                </w:r>
              </w:p>
            </w:tc>
            <w:tc>
              <w:tcPr>
                <w:tcW w:w="1270" w:type="dxa"/>
                <w:tcBorders>
                  <w:bottom w:val="single" w:sz="6" w:space="0" w:color="000000"/>
                </w:tcBorders>
                <w:tcMar>
                  <w:top w:w="0" w:type="dxa"/>
                  <w:left w:w="38" w:type="dxa"/>
                  <w:bottom w:w="0" w:type="dxa"/>
                  <w:right w:w="38" w:type="dxa"/>
                </w:tcMar>
                <w:vAlign w:val="center"/>
                <w:hideMark/>
              </w:tcPr>
              <w:p w14:paraId="583A210D"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$20.3</w:t>
                </w:r>
              </w:p>
            </w:tc>
            <w:tc>
              <w:tcPr>
                <w:tcW w:w="1270" w:type="dxa"/>
                <w:tcBorders>
                  <w:bottom w:val="single" w:sz="6" w:space="0" w:color="000000"/>
                </w:tcBorders>
                <w:tcMar>
                  <w:top w:w="0" w:type="dxa"/>
                  <w:left w:w="38" w:type="dxa"/>
                  <w:bottom w:w="0" w:type="dxa"/>
                  <w:right w:w="38" w:type="dxa"/>
                </w:tcMar>
                <w:vAlign w:val="center"/>
                <w:hideMark/>
              </w:tcPr>
              <w:p w14:paraId="4912C883"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1.9%</w:t>
                </w:r>
              </w:p>
            </w:tc>
          </w:tr>
          <w:tr w:rsidR="00E47A96" w14:paraId="68766888"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3EFA5478"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Public Health and Health Professions</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248748A7"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$23.1</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74FAE5F6"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2.1%</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855108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$26.7</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267856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2.5%</w:t>
                </w:r>
              </w:p>
            </w:tc>
          </w:tr>
          <w:tr w:rsidR="00E47A96" w14:paraId="315E6BAC"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2195239E"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School of Social Work</w:t>
                </w:r>
              </w:p>
            </w:tc>
            <w:tc>
              <w:tcPr>
                <w:tcW w:w="1270" w:type="dxa"/>
                <w:tcBorders>
                  <w:bottom w:val="single" w:sz="6" w:space="0" w:color="000000"/>
                </w:tcBorders>
                <w:tcMar>
                  <w:top w:w="0" w:type="dxa"/>
                  <w:left w:w="38" w:type="dxa"/>
                  <w:bottom w:w="0" w:type="dxa"/>
                  <w:right w:w="38" w:type="dxa"/>
                </w:tcMar>
                <w:vAlign w:val="center"/>
                <w:hideMark/>
              </w:tcPr>
              <w:p w14:paraId="718421B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$10.8</w:t>
                </w:r>
              </w:p>
            </w:tc>
            <w:tc>
              <w:tcPr>
                <w:tcW w:w="1275" w:type="dxa"/>
                <w:tcBorders>
                  <w:bottom w:val="single" w:sz="6" w:space="0" w:color="000000"/>
                </w:tcBorders>
                <w:tcMar>
                  <w:top w:w="0" w:type="dxa"/>
                  <w:left w:w="38" w:type="dxa"/>
                  <w:bottom w:w="0" w:type="dxa"/>
                  <w:right w:w="38" w:type="dxa"/>
                </w:tcMar>
                <w:vAlign w:val="center"/>
                <w:hideMark/>
              </w:tcPr>
              <w:p w14:paraId="750D4D1A"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w:t>
                </w:r>
              </w:p>
            </w:tc>
            <w:tc>
              <w:tcPr>
                <w:tcW w:w="1270" w:type="dxa"/>
                <w:tcBorders>
                  <w:bottom w:val="single" w:sz="6" w:space="0" w:color="000000"/>
                </w:tcBorders>
                <w:tcMar>
                  <w:top w:w="0" w:type="dxa"/>
                  <w:left w:w="38" w:type="dxa"/>
                  <w:bottom w:w="0" w:type="dxa"/>
                  <w:right w:w="38" w:type="dxa"/>
                </w:tcMar>
                <w:vAlign w:val="center"/>
                <w:hideMark/>
              </w:tcPr>
              <w:p w14:paraId="1A53DB81"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$11.2</w:t>
                </w:r>
              </w:p>
            </w:tc>
            <w:tc>
              <w:tcPr>
                <w:tcW w:w="1270" w:type="dxa"/>
                <w:tcBorders>
                  <w:bottom w:val="single" w:sz="6" w:space="0" w:color="000000"/>
                </w:tcBorders>
                <w:tcMar>
                  <w:top w:w="0" w:type="dxa"/>
                  <w:left w:w="38" w:type="dxa"/>
                  <w:bottom w:w="0" w:type="dxa"/>
                  <w:right w:w="38" w:type="dxa"/>
                </w:tcMar>
                <w:vAlign w:val="center"/>
                <w:hideMark/>
              </w:tcPr>
              <w:p w14:paraId="1E189D7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w:t>
                </w:r>
              </w:p>
            </w:tc>
          </w:tr>
          <w:tr w:rsidR="00E47A96" w14:paraId="11A32C7C" w14:textId="77777777">
            <w:trPr>
              <w:trHeight w:val="375"/>
            </w:trPr>
            <w:tc>
              <w:tcPr>
                <w:tcW w:w="4539" w:type="dxa"/>
                <w:tcBorders>
                  <w:bottom w:val="single" w:sz="6" w:space="0" w:color="000000"/>
                </w:tcBorders>
                <w:shd w:val="clear" w:color="auto" w:fill="FFFFCC"/>
                <w:tcMar>
                  <w:top w:w="0" w:type="dxa"/>
                  <w:left w:w="38" w:type="dxa"/>
                  <w:bottom w:w="0" w:type="dxa"/>
                  <w:right w:w="38" w:type="dxa"/>
                </w:tcMar>
                <w:vAlign w:val="center"/>
                <w:hideMark/>
              </w:tcPr>
              <w:p w14:paraId="0E558638" w14:textId="77777777" w:rsidR="000F43DC" w:rsidRDefault="00D518E8">
                <w:pPr>
                  <w:spacing w:before="0" w:after="0" w:line="240" w:lineRule="auto"/>
                  <w:ind w:left="0"/>
                  <w:contextualSpacing/>
                  <w:rPr>
                    <w:rFonts w:ascii="Arial" w:eastAsia="Arial" w:hAnsi="Arial" w:cs="Arial"/>
                    <w:b/>
                    <w:bCs/>
                    <w:color w:val="000000"/>
                    <w:sz w:val="18"/>
                    <w:szCs w:val="18"/>
                  </w:rPr>
                </w:pPr>
                <w:r>
                  <w:rPr>
                    <w:rFonts w:ascii="Arial" w:eastAsia="Arial" w:hAnsi="Arial" w:cs="Arial"/>
                    <w:b/>
                    <w:bCs/>
                    <w:color w:val="000000"/>
                    <w:sz w:val="18"/>
                    <w:szCs w:val="18"/>
                  </w:rPr>
                  <w:t>Decanal Units</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020AD8EE"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$589.8</w:t>
                </w:r>
              </w:p>
            </w:tc>
            <w:tc>
              <w:tcPr>
                <w:tcW w:w="1275" w:type="dxa"/>
                <w:tcBorders>
                  <w:bottom w:val="single" w:sz="6" w:space="0" w:color="000000"/>
                </w:tcBorders>
                <w:shd w:val="clear" w:color="auto" w:fill="FFFFCC"/>
                <w:tcMar>
                  <w:top w:w="0" w:type="dxa"/>
                  <w:left w:w="38" w:type="dxa"/>
                  <w:bottom w:w="0" w:type="dxa"/>
                  <w:right w:w="38" w:type="dxa"/>
                </w:tcMar>
                <w:vAlign w:val="center"/>
                <w:hideMark/>
              </w:tcPr>
              <w:p w14:paraId="7530D9FB"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54.3%</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6E2762E0"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$595.3</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7809237B"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55.4%</w:t>
                </w:r>
              </w:p>
            </w:tc>
          </w:tr>
        </w:tbl>
      </w:sdtContent>
    </w:sdt>
    <w:p w14:paraId="3BEE3BD5" w14:textId="77777777" w:rsidR="003856EE" w:rsidRDefault="00D518E8" w:rsidP="003856EE">
      <w:pPr>
        <w:spacing w:before="0" w:after="0" w:line="240" w:lineRule="auto"/>
        <w:ind w:left="0"/>
      </w:pPr>
      <w:r w:rsidRPr="005C6620">
        <w:t xml:space="preserve">In the </w:t>
      </w:r>
      <w:sdt>
        <w:sdtPr>
          <w:alias w:val="CurrentYear XXXX/XX"/>
          <w:tag w:val="&lt;ReportPackage&gt;&lt;Variable id=&quot;cf41f8de-15d3-4fdf-993b-adb992bbaf9e&quot; usageType=&quot;Value&quot; /&gt;&lt;/ReportPackage&gt;"/>
          <w:id w:val="1075400102"/>
          <w:placeholder>
            <w:docPart w:val="900C9CACE0314776A807CA0E8F274133"/>
          </w:placeholder>
          <w:text/>
        </w:sdtPr>
        <w:sdtEndPr/>
        <w:sdtContent>
          <w:r w:rsidRPr="005C6620">
            <w:t>2026/27</w:t>
          </w:r>
        </w:sdtContent>
      </w:sdt>
      <w:r w:rsidRPr="005C6620">
        <w:t xml:space="preserve"> academic year, budgeted uses exceed sources by $5.5M across 12 academic </w:t>
      </w:r>
      <w:r w:rsidRPr="006A3CC4">
        <w:t xml:space="preserve">units. Unit carryforward balances </w:t>
      </w:r>
      <w:r w:rsidR="009A1597" w:rsidRPr="006A3CC4">
        <w:t xml:space="preserve">will be used to </w:t>
      </w:r>
      <w:r w:rsidRPr="006A3CC4">
        <w:t>cover overages.</w:t>
      </w:r>
    </w:p>
    <w:p w14:paraId="3D7A295B" w14:textId="77777777" w:rsidR="003856EE" w:rsidRPr="001269AC" w:rsidRDefault="00D518E8" w:rsidP="003856EE">
      <w:pPr>
        <w:spacing w:before="0" w:after="160"/>
        <w:ind w:left="0"/>
      </w:pPr>
      <w:r>
        <w:br w:type="page"/>
      </w:r>
    </w:p>
    <w:p w14:paraId="12914CC5" w14:textId="77777777" w:rsidR="003856EE" w:rsidRPr="00CF2928" w:rsidRDefault="00D518E8" w:rsidP="003B5D4A">
      <w:pPr>
        <w:pStyle w:val="ListParagraph"/>
        <w:keepNext/>
        <w:keepLines/>
        <w:numPr>
          <w:ilvl w:val="0"/>
          <w:numId w:val="29"/>
        </w:numPr>
        <w:spacing w:before="0" w:after="0" w:line="240" w:lineRule="auto"/>
        <w:outlineLvl w:val="1"/>
        <w:rPr>
          <w:rFonts w:eastAsiaTheme="majorEastAsia" w:cstheme="majorBidi"/>
          <w:color w:val="990000"/>
          <w:sz w:val="32"/>
          <w:szCs w:val="36"/>
        </w:rPr>
      </w:pPr>
      <w:bookmarkStart w:id="32" w:name="_Toc236305197"/>
      <w:r w:rsidRPr="00CF2928">
        <w:rPr>
          <w:rFonts w:eastAsiaTheme="majorEastAsia" w:cstheme="majorBidi"/>
          <w:color w:val="990000"/>
          <w:sz w:val="32"/>
          <w:szCs w:val="36"/>
        </w:rPr>
        <w:lastRenderedPageBreak/>
        <w:t>Academic Support</w:t>
      </w:r>
      <w:bookmarkEnd w:id="32"/>
    </w:p>
    <w:p w14:paraId="6B3AEAB2" w14:textId="77777777" w:rsidR="003856EE" w:rsidRDefault="00D518E8" w:rsidP="003856EE">
      <w:pPr>
        <w:spacing w:before="0" w:after="0" w:line="240" w:lineRule="auto"/>
      </w:pPr>
      <w:r w:rsidRPr="001269AC">
        <w:t>(in millions)</w:t>
      </w:r>
    </w:p>
    <w:sdt>
      <w:sdtPr>
        <w:alias w:val="Academic Support"/>
        <w:tag w:val="&lt;ReportPackage&gt;&lt;EmbeddedContent id=&quot;c152c631-5313-4402-9a12-902796accf98&quot; lastModified=&quot;1784723634676&quot;/&gt;&lt;/ReportPackage&gt;"/>
        <w:id w:val="657664987"/>
        <w:lock w:val="contentLocked"/>
        <w:placeholder>
          <w:docPart w:val="A378A4A4410F4832A488C77F210186EC"/>
        </w:placeholder>
      </w:sdtPr>
      <w:sdtEndPr/>
      <w:sdtContent>
        <w:tbl>
          <w:tblPr>
            <w:tblStyle w:val="defRCrp"/>
            <w:tblW w:w="9250" w:type="dxa"/>
            <w:tblCellMar>
              <w:left w:w="0" w:type="dxa"/>
              <w:right w:w="0" w:type="dxa"/>
            </w:tblCellMar>
            <w:tblLook w:val="05E0" w:firstRow="1" w:lastRow="1" w:firstColumn="1" w:lastColumn="1" w:noHBand="0" w:noVBand="1"/>
          </w:tblPr>
          <w:tblGrid>
            <w:gridCol w:w="4411"/>
            <w:gridCol w:w="1204"/>
            <w:gridCol w:w="1229"/>
            <w:gridCol w:w="1182"/>
            <w:gridCol w:w="1224"/>
          </w:tblGrid>
          <w:tr w:rsidR="00E47A96" w14:paraId="5D6F8A53" w14:textId="77777777">
            <w:trPr>
              <w:trHeight w:val="375"/>
              <w:tblHeader/>
            </w:trPr>
            <w:tc>
              <w:tcPr>
                <w:tcW w:w="4539" w:type="dxa"/>
                <w:tcBorders>
                  <w:bottom w:val="single" w:sz="6" w:space="0" w:color="000000"/>
                </w:tcBorders>
                <w:shd w:val="clear" w:color="auto" w:fill="E4E4E4"/>
                <w:tcMar>
                  <w:top w:w="0" w:type="dxa"/>
                  <w:left w:w="38" w:type="dxa"/>
                  <w:bottom w:w="0" w:type="dxa"/>
                  <w:right w:w="38" w:type="dxa"/>
                </w:tcMar>
                <w:vAlign w:val="center"/>
                <w:hideMark/>
              </w:tcPr>
              <w:p w14:paraId="4E4A934B" w14:textId="77777777" w:rsidR="000F43DC" w:rsidRDefault="000F43DC">
                <w:pPr>
                  <w:spacing w:before="0" w:after="0" w:line="240" w:lineRule="auto"/>
                  <w:ind w:left="0"/>
                  <w:contextualSpacing/>
                  <w:rPr>
                    <w:rFonts w:ascii="Arial" w:eastAsia="Arial" w:hAnsi="Arial" w:cs="Arial"/>
                    <w:color w:val="000000"/>
                    <w:sz w:val="18"/>
                    <w:szCs w:val="18"/>
                  </w:rPr>
                </w:pPr>
              </w:p>
            </w:tc>
            <w:tc>
              <w:tcPr>
                <w:tcW w:w="1270" w:type="dxa"/>
                <w:tcBorders>
                  <w:bottom w:val="single" w:sz="6" w:space="0" w:color="000000"/>
                </w:tcBorders>
                <w:shd w:val="clear" w:color="auto" w:fill="E4E4E4"/>
                <w:tcMar>
                  <w:top w:w="0" w:type="dxa"/>
                  <w:left w:w="38" w:type="dxa"/>
                  <w:bottom w:w="0" w:type="dxa"/>
                  <w:right w:w="38" w:type="dxa"/>
                </w:tcMar>
                <w:hideMark/>
              </w:tcPr>
              <w:p w14:paraId="1E017BFD"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Sources</w:t>
                </w:r>
              </w:p>
            </w:tc>
            <w:tc>
              <w:tcPr>
                <w:tcW w:w="1275" w:type="dxa"/>
                <w:tcBorders>
                  <w:bottom w:val="single" w:sz="6" w:space="0" w:color="000000"/>
                </w:tcBorders>
                <w:shd w:val="clear" w:color="auto" w:fill="E4E4E4"/>
                <w:tcMar>
                  <w:top w:w="0" w:type="dxa"/>
                  <w:left w:w="38" w:type="dxa"/>
                  <w:bottom w:w="0" w:type="dxa"/>
                  <w:right w:w="38" w:type="dxa"/>
                </w:tcMar>
                <w:hideMark/>
              </w:tcPr>
              <w:p w14:paraId="39FE6749"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 of Total</w:t>
                </w:r>
              </w:p>
            </w:tc>
            <w:tc>
              <w:tcPr>
                <w:tcW w:w="1270" w:type="dxa"/>
                <w:tcBorders>
                  <w:bottom w:val="single" w:sz="6" w:space="0" w:color="000000"/>
                </w:tcBorders>
                <w:shd w:val="clear" w:color="auto" w:fill="E4E4E4"/>
                <w:tcMar>
                  <w:top w:w="0" w:type="dxa"/>
                  <w:left w:w="38" w:type="dxa"/>
                  <w:bottom w:w="0" w:type="dxa"/>
                  <w:right w:w="38" w:type="dxa"/>
                </w:tcMar>
                <w:hideMark/>
              </w:tcPr>
              <w:p w14:paraId="6FCD3535"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Uses</w:t>
                </w:r>
              </w:p>
            </w:tc>
            <w:tc>
              <w:tcPr>
                <w:tcW w:w="1270" w:type="dxa"/>
                <w:tcBorders>
                  <w:bottom w:val="single" w:sz="6" w:space="0" w:color="000000"/>
                </w:tcBorders>
                <w:shd w:val="clear" w:color="auto" w:fill="E4E4E4"/>
                <w:tcMar>
                  <w:top w:w="0" w:type="dxa"/>
                  <w:left w:w="38" w:type="dxa"/>
                  <w:bottom w:w="0" w:type="dxa"/>
                  <w:right w:w="38" w:type="dxa"/>
                </w:tcMar>
                <w:hideMark/>
              </w:tcPr>
              <w:p w14:paraId="2E7F1C5B"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 of Total</w:t>
                </w:r>
              </w:p>
            </w:tc>
          </w:tr>
          <w:tr w:rsidR="00E47A96" w14:paraId="636127B0"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1B1A85FE"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University at Buffalo Information Technology</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63933411"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$45.6</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2141655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4.2%</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64DA7DE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$58.5</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2D1D981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5.4%</w:t>
                </w:r>
              </w:p>
            </w:tc>
          </w:tr>
          <w:tr w:rsidR="00E47A96" w14:paraId="64806227"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213C69A6"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Division of Athletics</w:t>
                </w:r>
              </w:p>
            </w:tc>
            <w:tc>
              <w:tcPr>
                <w:tcW w:w="1270" w:type="dxa"/>
                <w:tcBorders>
                  <w:bottom w:val="single" w:sz="6" w:space="0" w:color="000000"/>
                </w:tcBorders>
                <w:tcMar>
                  <w:top w:w="0" w:type="dxa"/>
                  <w:left w:w="38" w:type="dxa"/>
                  <w:bottom w:w="0" w:type="dxa"/>
                  <w:right w:w="38" w:type="dxa"/>
                </w:tcMar>
                <w:vAlign w:val="center"/>
                <w:hideMark/>
              </w:tcPr>
              <w:p w14:paraId="25ADCF9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$43.1</w:t>
                </w:r>
              </w:p>
            </w:tc>
            <w:tc>
              <w:tcPr>
                <w:tcW w:w="1275" w:type="dxa"/>
                <w:tcBorders>
                  <w:bottom w:val="single" w:sz="6" w:space="0" w:color="000000"/>
                </w:tcBorders>
                <w:tcMar>
                  <w:top w:w="0" w:type="dxa"/>
                  <w:left w:w="38" w:type="dxa"/>
                  <w:bottom w:w="0" w:type="dxa"/>
                  <w:right w:w="38" w:type="dxa"/>
                </w:tcMar>
                <w:vAlign w:val="center"/>
                <w:hideMark/>
              </w:tcPr>
              <w:p w14:paraId="18007B0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4.0%</w:t>
                </w:r>
              </w:p>
            </w:tc>
            <w:tc>
              <w:tcPr>
                <w:tcW w:w="1270" w:type="dxa"/>
                <w:tcBorders>
                  <w:bottom w:val="single" w:sz="6" w:space="0" w:color="000000"/>
                </w:tcBorders>
                <w:tcMar>
                  <w:top w:w="0" w:type="dxa"/>
                  <w:left w:w="38" w:type="dxa"/>
                  <w:bottom w:w="0" w:type="dxa"/>
                  <w:right w:w="38" w:type="dxa"/>
                </w:tcMar>
                <w:vAlign w:val="center"/>
                <w:hideMark/>
              </w:tcPr>
              <w:p w14:paraId="657C08AA"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$48.9</w:t>
                </w:r>
              </w:p>
            </w:tc>
            <w:tc>
              <w:tcPr>
                <w:tcW w:w="1270" w:type="dxa"/>
                <w:tcBorders>
                  <w:bottom w:val="single" w:sz="6" w:space="0" w:color="000000"/>
                </w:tcBorders>
                <w:tcMar>
                  <w:top w:w="0" w:type="dxa"/>
                  <w:left w:w="38" w:type="dxa"/>
                  <w:bottom w:w="0" w:type="dxa"/>
                  <w:right w:w="38" w:type="dxa"/>
                </w:tcMar>
                <w:vAlign w:val="center"/>
                <w:hideMark/>
              </w:tcPr>
              <w:p w14:paraId="62655525"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4.6%</w:t>
                </w:r>
              </w:p>
            </w:tc>
          </w:tr>
          <w:tr w:rsidR="00E47A96" w14:paraId="73039EBB"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2C4259B8"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Finance and Administration</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0878C2B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$131.4</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1BD3667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12.1%</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180D9CC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$115.9</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D431ED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10.8%</w:t>
                </w:r>
              </w:p>
            </w:tc>
          </w:tr>
          <w:tr w:rsidR="00E47A96" w14:paraId="254D70CC"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6CED70B4"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Health Sciences</w:t>
                </w:r>
              </w:p>
            </w:tc>
            <w:tc>
              <w:tcPr>
                <w:tcW w:w="1270" w:type="dxa"/>
                <w:tcBorders>
                  <w:bottom w:val="single" w:sz="6" w:space="0" w:color="000000"/>
                </w:tcBorders>
                <w:tcMar>
                  <w:top w:w="0" w:type="dxa"/>
                  <w:left w:w="38" w:type="dxa"/>
                  <w:bottom w:w="0" w:type="dxa"/>
                  <w:right w:w="38" w:type="dxa"/>
                </w:tcMar>
                <w:vAlign w:val="center"/>
                <w:hideMark/>
              </w:tcPr>
              <w:p w14:paraId="6C09A47F"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$3.4</w:t>
                </w:r>
              </w:p>
            </w:tc>
            <w:tc>
              <w:tcPr>
                <w:tcW w:w="1275" w:type="dxa"/>
                <w:tcBorders>
                  <w:bottom w:val="single" w:sz="6" w:space="0" w:color="000000"/>
                </w:tcBorders>
                <w:tcMar>
                  <w:top w:w="0" w:type="dxa"/>
                  <w:left w:w="38" w:type="dxa"/>
                  <w:bottom w:w="0" w:type="dxa"/>
                  <w:right w:w="38" w:type="dxa"/>
                </w:tcMar>
                <w:vAlign w:val="center"/>
                <w:hideMark/>
              </w:tcPr>
              <w:p w14:paraId="48F886C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0.3%</w:t>
                </w:r>
              </w:p>
            </w:tc>
            <w:tc>
              <w:tcPr>
                <w:tcW w:w="1270" w:type="dxa"/>
                <w:tcBorders>
                  <w:bottom w:val="single" w:sz="6" w:space="0" w:color="000000"/>
                </w:tcBorders>
                <w:tcMar>
                  <w:top w:w="0" w:type="dxa"/>
                  <w:left w:w="38" w:type="dxa"/>
                  <w:bottom w:w="0" w:type="dxa"/>
                  <w:right w:w="38" w:type="dxa"/>
                </w:tcMar>
                <w:vAlign w:val="center"/>
                <w:hideMark/>
              </w:tcPr>
              <w:p w14:paraId="0156AC9A"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$4.5</w:t>
                </w:r>
              </w:p>
            </w:tc>
            <w:tc>
              <w:tcPr>
                <w:tcW w:w="1270" w:type="dxa"/>
                <w:tcBorders>
                  <w:bottom w:val="single" w:sz="6" w:space="0" w:color="000000"/>
                </w:tcBorders>
                <w:tcMar>
                  <w:top w:w="0" w:type="dxa"/>
                  <w:left w:w="38" w:type="dxa"/>
                  <w:bottom w:w="0" w:type="dxa"/>
                  <w:right w:w="38" w:type="dxa"/>
                </w:tcMar>
                <w:vAlign w:val="center"/>
                <w:hideMark/>
              </w:tcPr>
              <w:p w14:paraId="7528478A"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0.4%</w:t>
                </w:r>
              </w:p>
            </w:tc>
          </w:tr>
          <w:tr w:rsidR="00E47A96" w14:paraId="499DFC4C"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26ED0446"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President</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6DC9B3D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$10.1</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6E043037"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0.9%</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31BA9F59"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$8.9</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F7FEC6D"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0.8%</w:t>
                </w:r>
              </w:p>
            </w:tc>
          </w:tr>
          <w:tr w:rsidR="00E47A96" w14:paraId="583D52D3"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4CE4BC43"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Provost</w:t>
                </w:r>
              </w:p>
            </w:tc>
            <w:tc>
              <w:tcPr>
                <w:tcW w:w="1270" w:type="dxa"/>
                <w:tcBorders>
                  <w:bottom w:val="single" w:sz="6" w:space="0" w:color="000000"/>
                </w:tcBorders>
                <w:tcMar>
                  <w:top w:w="0" w:type="dxa"/>
                  <w:left w:w="38" w:type="dxa"/>
                  <w:bottom w:w="0" w:type="dxa"/>
                  <w:right w:w="38" w:type="dxa"/>
                </w:tcMar>
                <w:vAlign w:val="center"/>
                <w:hideMark/>
              </w:tcPr>
              <w:p w14:paraId="7E172935"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$69.5</w:t>
                </w:r>
              </w:p>
            </w:tc>
            <w:tc>
              <w:tcPr>
                <w:tcW w:w="1275" w:type="dxa"/>
                <w:tcBorders>
                  <w:bottom w:val="single" w:sz="6" w:space="0" w:color="000000"/>
                </w:tcBorders>
                <w:tcMar>
                  <w:top w:w="0" w:type="dxa"/>
                  <w:left w:w="38" w:type="dxa"/>
                  <w:bottom w:w="0" w:type="dxa"/>
                  <w:right w:w="38" w:type="dxa"/>
                </w:tcMar>
                <w:vAlign w:val="center"/>
                <w:hideMark/>
              </w:tcPr>
              <w:p w14:paraId="5994D269"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6.4%</w:t>
                </w:r>
              </w:p>
            </w:tc>
            <w:tc>
              <w:tcPr>
                <w:tcW w:w="1270" w:type="dxa"/>
                <w:tcBorders>
                  <w:bottom w:val="single" w:sz="6" w:space="0" w:color="000000"/>
                </w:tcBorders>
                <w:tcMar>
                  <w:top w:w="0" w:type="dxa"/>
                  <w:left w:w="38" w:type="dxa"/>
                  <w:bottom w:w="0" w:type="dxa"/>
                  <w:right w:w="38" w:type="dxa"/>
                </w:tcMar>
                <w:vAlign w:val="center"/>
                <w:hideMark/>
              </w:tcPr>
              <w:p w14:paraId="3D58DF3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$74.4</w:t>
                </w:r>
              </w:p>
            </w:tc>
            <w:tc>
              <w:tcPr>
                <w:tcW w:w="1270" w:type="dxa"/>
                <w:tcBorders>
                  <w:bottom w:val="single" w:sz="6" w:space="0" w:color="000000"/>
                </w:tcBorders>
                <w:tcMar>
                  <w:top w:w="0" w:type="dxa"/>
                  <w:left w:w="38" w:type="dxa"/>
                  <w:bottom w:w="0" w:type="dxa"/>
                  <w:right w:w="38" w:type="dxa"/>
                </w:tcMar>
                <w:vAlign w:val="center"/>
                <w:hideMark/>
              </w:tcPr>
              <w:p w14:paraId="1578D98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6.9%</w:t>
                </w:r>
              </w:p>
            </w:tc>
          </w:tr>
          <w:tr w:rsidR="00E47A96" w14:paraId="6EE747EE"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439F597F"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Research and Economic Development</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33925B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$47.4</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5269C43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4.4%</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3E9A265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$40.1</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3ABC8FD9"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3.7%</w:t>
                </w:r>
              </w:p>
            </w:tc>
          </w:tr>
          <w:tr w:rsidR="00E47A96" w14:paraId="4D27E19D"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39BF55F8"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Student Life</w:t>
                </w:r>
              </w:p>
            </w:tc>
            <w:tc>
              <w:tcPr>
                <w:tcW w:w="1270" w:type="dxa"/>
                <w:tcBorders>
                  <w:bottom w:val="single" w:sz="6" w:space="0" w:color="000000"/>
                </w:tcBorders>
                <w:tcMar>
                  <w:top w:w="0" w:type="dxa"/>
                  <w:left w:w="38" w:type="dxa"/>
                  <w:bottom w:w="0" w:type="dxa"/>
                  <w:right w:w="38" w:type="dxa"/>
                </w:tcMar>
                <w:vAlign w:val="center"/>
                <w:hideMark/>
              </w:tcPr>
              <w:p w14:paraId="7C51E32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$122.0</w:t>
                </w:r>
              </w:p>
            </w:tc>
            <w:tc>
              <w:tcPr>
                <w:tcW w:w="1275" w:type="dxa"/>
                <w:tcBorders>
                  <w:bottom w:val="single" w:sz="6" w:space="0" w:color="000000"/>
                </w:tcBorders>
                <w:tcMar>
                  <w:top w:w="0" w:type="dxa"/>
                  <w:left w:w="38" w:type="dxa"/>
                  <w:bottom w:w="0" w:type="dxa"/>
                  <w:right w:w="38" w:type="dxa"/>
                </w:tcMar>
                <w:vAlign w:val="center"/>
                <w:hideMark/>
              </w:tcPr>
              <w:p w14:paraId="6C837999"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11.2%</w:t>
                </w:r>
              </w:p>
            </w:tc>
            <w:tc>
              <w:tcPr>
                <w:tcW w:w="1270" w:type="dxa"/>
                <w:tcBorders>
                  <w:bottom w:val="single" w:sz="6" w:space="0" w:color="000000"/>
                </w:tcBorders>
                <w:tcMar>
                  <w:top w:w="0" w:type="dxa"/>
                  <w:left w:w="38" w:type="dxa"/>
                  <w:bottom w:w="0" w:type="dxa"/>
                  <w:right w:w="38" w:type="dxa"/>
                </w:tcMar>
                <w:vAlign w:val="center"/>
                <w:hideMark/>
              </w:tcPr>
              <w:p w14:paraId="0ADCD24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$102.3</w:t>
                </w:r>
              </w:p>
            </w:tc>
            <w:tc>
              <w:tcPr>
                <w:tcW w:w="1270" w:type="dxa"/>
                <w:tcBorders>
                  <w:bottom w:val="single" w:sz="6" w:space="0" w:color="000000"/>
                </w:tcBorders>
                <w:tcMar>
                  <w:top w:w="0" w:type="dxa"/>
                  <w:left w:w="38" w:type="dxa"/>
                  <w:bottom w:w="0" w:type="dxa"/>
                  <w:right w:w="38" w:type="dxa"/>
                </w:tcMar>
                <w:vAlign w:val="center"/>
                <w:hideMark/>
              </w:tcPr>
              <w:p w14:paraId="547CA738"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9.5%</w:t>
                </w:r>
              </w:p>
            </w:tc>
          </w:tr>
          <w:tr w:rsidR="00E47A96" w14:paraId="2C6A2E3D"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0E072ED0"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University Advancement</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449B8ED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$18.5</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1EC2DD0B"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1.7%</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34A69ECD"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$18.8</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7726F3F6"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1.7%</w:t>
                </w:r>
              </w:p>
            </w:tc>
          </w:tr>
          <w:tr w:rsidR="00E47A96" w14:paraId="054B57B4" w14:textId="77777777">
            <w:trPr>
              <w:trHeight w:val="375"/>
            </w:trPr>
            <w:tc>
              <w:tcPr>
                <w:tcW w:w="4539" w:type="dxa"/>
                <w:tcBorders>
                  <w:bottom w:val="single" w:sz="6" w:space="0" w:color="000000"/>
                </w:tcBorders>
                <w:tcMar>
                  <w:top w:w="0" w:type="dxa"/>
                  <w:left w:w="38" w:type="dxa"/>
                  <w:bottom w:w="0" w:type="dxa"/>
                  <w:right w:w="38" w:type="dxa"/>
                </w:tcMar>
                <w:vAlign w:val="center"/>
                <w:hideMark/>
              </w:tcPr>
              <w:p w14:paraId="007C9608"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University Communications</w:t>
                </w:r>
              </w:p>
            </w:tc>
            <w:tc>
              <w:tcPr>
                <w:tcW w:w="1270" w:type="dxa"/>
                <w:tcBorders>
                  <w:bottom w:val="single" w:sz="6" w:space="0" w:color="000000"/>
                </w:tcBorders>
                <w:tcMar>
                  <w:top w:w="0" w:type="dxa"/>
                  <w:left w:w="38" w:type="dxa"/>
                  <w:bottom w:w="0" w:type="dxa"/>
                  <w:right w:w="38" w:type="dxa"/>
                </w:tcMar>
                <w:vAlign w:val="center"/>
                <w:hideMark/>
              </w:tcPr>
              <w:p w14:paraId="46946967"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$5.9</w:t>
                </w:r>
              </w:p>
            </w:tc>
            <w:tc>
              <w:tcPr>
                <w:tcW w:w="1275" w:type="dxa"/>
                <w:tcBorders>
                  <w:bottom w:val="single" w:sz="6" w:space="0" w:color="000000"/>
                </w:tcBorders>
                <w:tcMar>
                  <w:top w:w="0" w:type="dxa"/>
                  <w:left w:w="38" w:type="dxa"/>
                  <w:bottom w:w="0" w:type="dxa"/>
                  <w:right w:w="38" w:type="dxa"/>
                </w:tcMar>
                <w:vAlign w:val="center"/>
                <w:hideMark/>
              </w:tcPr>
              <w:p w14:paraId="469C6C9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0.5%</w:t>
                </w:r>
              </w:p>
            </w:tc>
            <w:tc>
              <w:tcPr>
                <w:tcW w:w="1270" w:type="dxa"/>
                <w:tcBorders>
                  <w:bottom w:val="single" w:sz="6" w:space="0" w:color="000000"/>
                </w:tcBorders>
                <w:tcMar>
                  <w:top w:w="0" w:type="dxa"/>
                  <w:left w:w="38" w:type="dxa"/>
                  <w:bottom w:w="0" w:type="dxa"/>
                  <w:right w:w="38" w:type="dxa"/>
                </w:tcMar>
                <w:vAlign w:val="center"/>
                <w:hideMark/>
              </w:tcPr>
              <w:p w14:paraId="79FF79F4"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$6.5</w:t>
                </w:r>
              </w:p>
            </w:tc>
            <w:tc>
              <w:tcPr>
                <w:tcW w:w="1270" w:type="dxa"/>
                <w:tcBorders>
                  <w:bottom w:val="single" w:sz="6" w:space="0" w:color="000000"/>
                </w:tcBorders>
                <w:tcMar>
                  <w:top w:w="0" w:type="dxa"/>
                  <w:left w:w="38" w:type="dxa"/>
                  <w:bottom w:w="0" w:type="dxa"/>
                  <w:right w:w="38" w:type="dxa"/>
                </w:tcMar>
                <w:vAlign w:val="center"/>
                <w:hideMark/>
              </w:tcPr>
              <w:p w14:paraId="58F68B50"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0.6%</w:t>
                </w:r>
              </w:p>
            </w:tc>
          </w:tr>
          <w:tr w:rsidR="00E47A96" w14:paraId="24EF1F83" w14:textId="77777777">
            <w:trPr>
              <w:trHeight w:val="375"/>
            </w:trPr>
            <w:tc>
              <w:tcPr>
                <w:tcW w:w="4539" w:type="dxa"/>
                <w:tcBorders>
                  <w:bottom w:val="single" w:sz="6" w:space="0" w:color="000000"/>
                </w:tcBorders>
                <w:shd w:val="clear" w:color="auto" w:fill="FFFFCC"/>
                <w:tcMar>
                  <w:top w:w="0" w:type="dxa"/>
                  <w:left w:w="38" w:type="dxa"/>
                  <w:bottom w:w="0" w:type="dxa"/>
                  <w:right w:w="38" w:type="dxa"/>
                </w:tcMar>
                <w:vAlign w:val="center"/>
                <w:hideMark/>
              </w:tcPr>
              <w:p w14:paraId="36704D7D" w14:textId="77777777" w:rsidR="000F43DC" w:rsidRDefault="00D518E8">
                <w:pPr>
                  <w:spacing w:before="0" w:after="0" w:line="240" w:lineRule="auto"/>
                  <w:ind w:left="0"/>
                  <w:contextualSpacing/>
                  <w:rPr>
                    <w:rFonts w:ascii="Arial" w:eastAsia="Arial" w:hAnsi="Arial" w:cs="Arial"/>
                    <w:b/>
                    <w:bCs/>
                    <w:color w:val="000000"/>
                    <w:sz w:val="18"/>
                    <w:szCs w:val="18"/>
                  </w:rPr>
                </w:pPr>
                <w:r>
                  <w:rPr>
                    <w:rFonts w:ascii="Arial" w:eastAsia="Arial" w:hAnsi="Arial" w:cs="Arial"/>
                    <w:b/>
                    <w:bCs/>
                    <w:color w:val="000000"/>
                    <w:sz w:val="18"/>
                    <w:szCs w:val="18"/>
                  </w:rPr>
                  <w:t>Academic Support</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0D5977A0"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$497.0</w:t>
                </w:r>
              </w:p>
            </w:tc>
            <w:tc>
              <w:tcPr>
                <w:tcW w:w="1275" w:type="dxa"/>
                <w:tcBorders>
                  <w:bottom w:val="single" w:sz="6" w:space="0" w:color="000000"/>
                </w:tcBorders>
                <w:shd w:val="clear" w:color="auto" w:fill="FFFFCC"/>
                <w:tcMar>
                  <w:top w:w="0" w:type="dxa"/>
                  <w:left w:w="38" w:type="dxa"/>
                  <w:bottom w:w="0" w:type="dxa"/>
                  <w:right w:w="38" w:type="dxa"/>
                </w:tcMar>
                <w:vAlign w:val="center"/>
                <w:hideMark/>
              </w:tcPr>
              <w:p w14:paraId="3C4EE5FB"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45.7%</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39D99225"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$478.9</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6AC8659D"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44.6%</w:t>
                </w:r>
              </w:p>
            </w:tc>
          </w:tr>
        </w:tbl>
      </w:sdtContent>
    </w:sdt>
    <w:p w14:paraId="0498B897" w14:textId="77777777" w:rsidR="003856EE" w:rsidRPr="005C6620" w:rsidRDefault="00D518E8" w:rsidP="003856EE">
      <w:pPr>
        <w:ind w:left="0"/>
      </w:pPr>
      <w:r w:rsidRPr="005C6620">
        <w:t xml:space="preserve">In the </w:t>
      </w:r>
      <w:sdt>
        <w:sdtPr>
          <w:alias w:val="CurrentYear XXXX/XX"/>
          <w:tag w:val="&lt;ReportPackage&gt;&lt;Variable id=&quot;cf41f8de-15d3-4fdf-993b-adb992bbaf9e&quot; usageType=&quot;Value&quot; /&gt;&lt;/ReportPackage&gt;"/>
          <w:id w:val="-1197461108"/>
          <w:placeholder>
            <w:docPart w:val="900C9CACE0314776A807CA0E8F274133"/>
          </w:placeholder>
          <w:text/>
        </w:sdtPr>
        <w:sdtEndPr/>
        <w:sdtContent>
          <w:r w:rsidRPr="005C6620">
            <w:t>2026/27</w:t>
          </w:r>
        </w:sdtContent>
      </w:sdt>
      <w:r w:rsidRPr="005C6620">
        <w:t xml:space="preserve"> academic year, budgeted sources exceed uses by $18.1 million across 10 academic support units. Unit carryforward balances are currently covering overages in 2025/26.</w:t>
      </w:r>
    </w:p>
    <w:p w14:paraId="71EE1DB8" w14:textId="77777777" w:rsidR="003856EE" w:rsidRPr="005C6620" w:rsidRDefault="00D518E8" w:rsidP="003B5D4A">
      <w:pPr>
        <w:numPr>
          <w:ilvl w:val="0"/>
          <w:numId w:val="28"/>
        </w:numPr>
        <w:contextualSpacing/>
      </w:pPr>
      <w:r w:rsidRPr="005C6620">
        <w:t>Academic support units are necessary for the academic and research mission of the university. Some of the revenue is generated directly by these units and restricted to their use.</w:t>
      </w:r>
    </w:p>
    <w:p w14:paraId="56F703C5" w14:textId="77777777" w:rsidR="003856EE" w:rsidRDefault="003856EE" w:rsidP="003856EE"/>
    <w:sdt>
      <w:sdtPr>
        <w:alias w:val="Campus Financial Plan"/>
        <w:tag w:val="&lt;ReportPackage&gt;&lt;EmbeddedContent id=&quot;005fb6dd-4269-4c93-b3d1-ad3966cb10ea&quot; lastModified=&quot;1784723634676&quot;/&gt;&lt;/ReportPackage&gt;"/>
        <w:id w:val="618496308"/>
        <w:lock w:val="contentLocked"/>
        <w:placeholder>
          <w:docPart w:val="D89DCBF239004DC8B5C2422046D30705"/>
        </w:placeholder>
      </w:sdtPr>
      <w:sdtEndPr/>
      <w:sdtContent>
        <w:tbl>
          <w:tblPr>
            <w:tblStyle w:val="defRCrp"/>
            <w:tblW w:w="9250" w:type="dxa"/>
            <w:tblCellMar>
              <w:left w:w="0" w:type="dxa"/>
              <w:right w:w="0" w:type="dxa"/>
            </w:tblCellMar>
            <w:tblLook w:val="05E0" w:firstRow="1" w:lastRow="1" w:firstColumn="1" w:lastColumn="1" w:noHBand="0" w:noVBand="1"/>
          </w:tblPr>
          <w:tblGrid>
            <w:gridCol w:w="4414"/>
            <w:gridCol w:w="1203"/>
            <w:gridCol w:w="1228"/>
            <w:gridCol w:w="1181"/>
            <w:gridCol w:w="1224"/>
          </w:tblGrid>
          <w:tr w:rsidR="00E47A96" w14:paraId="151D9648" w14:textId="77777777">
            <w:trPr>
              <w:trHeight w:val="375"/>
              <w:tblHeader/>
            </w:trPr>
            <w:tc>
              <w:tcPr>
                <w:tcW w:w="4539" w:type="dxa"/>
                <w:tcBorders>
                  <w:bottom w:val="single" w:sz="6" w:space="0" w:color="000000"/>
                </w:tcBorders>
                <w:shd w:val="clear" w:color="auto" w:fill="E4E4E4"/>
                <w:tcMar>
                  <w:top w:w="0" w:type="dxa"/>
                  <w:left w:w="38" w:type="dxa"/>
                  <w:bottom w:w="0" w:type="dxa"/>
                  <w:right w:w="38" w:type="dxa"/>
                </w:tcMar>
                <w:vAlign w:val="center"/>
                <w:hideMark/>
              </w:tcPr>
              <w:p w14:paraId="5D587402" w14:textId="77777777" w:rsidR="000F43DC" w:rsidRDefault="000F43DC">
                <w:pPr>
                  <w:spacing w:before="0" w:after="0" w:line="240" w:lineRule="auto"/>
                  <w:ind w:left="0"/>
                  <w:contextualSpacing/>
                  <w:rPr>
                    <w:rFonts w:ascii="Arial" w:eastAsia="Arial" w:hAnsi="Arial" w:cs="Arial"/>
                    <w:color w:val="000000"/>
                    <w:sz w:val="18"/>
                    <w:szCs w:val="18"/>
                  </w:rPr>
                </w:pPr>
              </w:p>
            </w:tc>
            <w:tc>
              <w:tcPr>
                <w:tcW w:w="1270" w:type="dxa"/>
                <w:tcBorders>
                  <w:bottom w:val="single" w:sz="6" w:space="0" w:color="000000"/>
                </w:tcBorders>
                <w:shd w:val="clear" w:color="auto" w:fill="E4E4E4"/>
                <w:tcMar>
                  <w:top w:w="0" w:type="dxa"/>
                  <w:left w:w="38" w:type="dxa"/>
                  <w:bottom w:w="0" w:type="dxa"/>
                  <w:right w:w="38" w:type="dxa"/>
                </w:tcMar>
                <w:hideMark/>
              </w:tcPr>
              <w:p w14:paraId="25674998"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Sources</w:t>
                </w:r>
              </w:p>
            </w:tc>
            <w:tc>
              <w:tcPr>
                <w:tcW w:w="1275" w:type="dxa"/>
                <w:tcBorders>
                  <w:bottom w:val="single" w:sz="6" w:space="0" w:color="000000"/>
                </w:tcBorders>
                <w:shd w:val="clear" w:color="auto" w:fill="E4E4E4"/>
                <w:tcMar>
                  <w:top w:w="0" w:type="dxa"/>
                  <w:left w:w="38" w:type="dxa"/>
                  <w:bottom w:w="0" w:type="dxa"/>
                  <w:right w:w="38" w:type="dxa"/>
                </w:tcMar>
                <w:hideMark/>
              </w:tcPr>
              <w:p w14:paraId="067F1008"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 of Total</w:t>
                </w:r>
              </w:p>
            </w:tc>
            <w:tc>
              <w:tcPr>
                <w:tcW w:w="1270" w:type="dxa"/>
                <w:tcBorders>
                  <w:bottom w:val="single" w:sz="6" w:space="0" w:color="000000"/>
                </w:tcBorders>
                <w:shd w:val="clear" w:color="auto" w:fill="E4E4E4"/>
                <w:tcMar>
                  <w:top w:w="0" w:type="dxa"/>
                  <w:left w:w="38" w:type="dxa"/>
                  <w:bottom w:w="0" w:type="dxa"/>
                  <w:right w:w="38" w:type="dxa"/>
                </w:tcMar>
                <w:hideMark/>
              </w:tcPr>
              <w:p w14:paraId="5396C524"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Uses</w:t>
                </w:r>
              </w:p>
            </w:tc>
            <w:tc>
              <w:tcPr>
                <w:tcW w:w="1270" w:type="dxa"/>
                <w:tcBorders>
                  <w:bottom w:val="single" w:sz="6" w:space="0" w:color="000000"/>
                </w:tcBorders>
                <w:shd w:val="clear" w:color="auto" w:fill="E4E4E4"/>
                <w:tcMar>
                  <w:top w:w="0" w:type="dxa"/>
                  <w:left w:w="38" w:type="dxa"/>
                  <w:bottom w:w="0" w:type="dxa"/>
                  <w:right w:w="38" w:type="dxa"/>
                </w:tcMar>
                <w:hideMark/>
              </w:tcPr>
              <w:p w14:paraId="5A15E5CC"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 of Total</w:t>
                </w:r>
              </w:p>
            </w:tc>
          </w:tr>
          <w:tr w:rsidR="00E47A96" w14:paraId="2F4ABDF9" w14:textId="77777777">
            <w:trPr>
              <w:trHeight w:val="375"/>
            </w:trPr>
            <w:tc>
              <w:tcPr>
                <w:tcW w:w="4539" w:type="dxa"/>
                <w:tcBorders>
                  <w:bottom w:val="single" w:sz="6" w:space="0" w:color="000000"/>
                </w:tcBorders>
                <w:shd w:val="clear" w:color="auto" w:fill="F2F2F2"/>
                <w:tcMar>
                  <w:top w:w="0" w:type="dxa"/>
                  <w:left w:w="38" w:type="dxa"/>
                  <w:bottom w:w="0" w:type="dxa"/>
                  <w:right w:w="38" w:type="dxa"/>
                </w:tcMar>
                <w:vAlign w:val="center"/>
                <w:hideMark/>
              </w:tcPr>
              <w:p w14:paraId="2B1B1376" w14:textId="77777777" w:rsidR="000F43DC" w:rsidRDefault="00D518E8">
                <w:pPr>
                  <w:spacing w:before="0" w:after="0" w:line="240" w:lineRule="auto"/>
                  <w:ind w:left="0"/>
                  <w:contextualSpacing/>
                  <w:rPr>
                    <w:rFonts w:ascii="Arial" w:eastAsia="Arial" w:hAnsi="Arial" w:cs="Arial"/>
                    <w:color w:val="000000"/>
                    <w:sz w:val="18"/>
                    <w:szCs w:val="18"/>
                  </w:rPr>
                </w:pPr>
                <w:r>
                  <w:rPr>
                    <w:rFonts w:ascii="Arial" w:eastAsia="Arial" w:hAnsi="Arial" w:cs="Arial"/>
                    <w:color w:val="000000"/>
                    <w:sz w:val="18"/>
                    <w:szCs w:val="18"/>
                  </w:rPr>
                  <w:t>Campus Financial Plan/Central University</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48C65E66"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$37.2</w:t>
                </w:r>
              </w:p>
            </w:tc>
            <w:tc>
              <w:tcPr>
                <w:tcW w:w="1275" w:type="dxa"/>
                <w:tcBorders>
                  <w:bottom w:val="single" w:sz="6" w:space="0" w:color="000000"/>
                </w:tcBorders>
                <w:shd w:val="clear" w:color="auto" w:fill="F2F2F2"/>
                <w:tcMar>
                  <w:top w:w="0" w:type="dxa"/>
                  <w:left w:w="38" w:type="dxa"/>
                  <w:bottom w:w="0" w:type="dxa"/>
                  <w:right w:w="38" w:type="dxa"/>
                </w:tcMar>
                <w:vAlign w:val="center"/>
                <w:hideMark/>
              </w:tcPr>
              <w:p w14:paraId="7D20424C"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3.4%</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99C563E"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$108.6</w:t>
                </w:r>
              </w:p>
            </w:tc>
            <w:tc>
              <w:tcPr>
                <w:tcW w:w="1270" w:type="dxa"/>
                <w:tcBorders>
                  <w:bottom w:val="single" w:sz="6" w:space="0" w:color="000000"/>
                </w:tcBorders>
                <w:shd w:val="clear" w:color="auto" w:fill="F2F2F2"/>
                <w:tcMar>
                  <w:top w:w="0" w:type="dxa"/>
                  <w:left w:w="38" w:type="dxa"/>
                  <w:bottom w:w="0" w:type="dxa"/>
                  <w:right w:w="38" w:type="dxa"/>
                </w:tcMar>
                <w:vAlign w:val="center"/>
                <w:hideMark/>
              </w:tcPr>
              <w:p w14:paraId="5DA57372" w14:textId="77777777" w:rsidR="000F43DC" w:rsidRDefault="00D518E8">
                <w:pPr>
                  <w:spacing w:before="0" w:after="0" w:line="240" w:lineRule="auto"/>
                  <w:ind w:left="0"/>
                  <w:contextualSpacing/>
                  <w:jc w:val="right"/>
                  <w:rPr>
                    <w:rFonts w:ascii="Arial" w:eastAsia="Arial" w:hAnsi="Arial" w:cs="Arial"/>
                    <w:color w:val="000000"/>
                    <w:sz w:val="18"/>
                    <w:szCs w:val="18"/>
                  </w:rPr>
                </w:pPr>
                <w:r>
                  <w:rPr>
                    <w:rFonts w:ascii="Arial" w:eastAsia="Arial" w:hAnsi="Arial" w:cs="Arial"/>
                    <w:color w:val="000000"/>
                    <w:sz w:val="18"/>
                    <w:szCs w:val="18"/>
                  </w:rPr>
                  <w:t>10.1%</w:t>
                </w:r>
              </w:p>
            </w:tc>
          </w:tr>
          <w:tr w:rsidR="00E47A96" w14:paraId="7F51F493" w14:textId="77777777">
            <w:trPr>
              <w:trHeight w:val="375"/>
            </w:trPr>
            <w:tc>
              <w:tcPr>
                <w:tcW w:w="4539" w:type="dxa"/>
                <w:tcBorders>
                  <w:bottom w:val="single" w:sz="6" w:space="0" w:color="000000"/>
                </w:tcBorders>
                <w:shd w:val="clear" w:color="auto" w:fill="FFFFCC"/>
                <w:tcMar>
                  <w:top w:w="0" w:type="dxa"/>
                  <w:left w:w="38" w:type="dxa"/>
                  <w:bottom w:w="0" w:type="dxa"/>
                  <w:right w:w="38" w:type="dxa"/>
                </w:tcMar>
                <w:vAlign w:val="center"/>
                <w:hideMark/>
              </w:tcPr>
              <w:p w14:paraId="6166BFF6" w14:textId="77777777" w:rsidR="000F43DC" w:rsidRDefault="00D518E8">
                <w:pPr>
                  <w:spacing w:before="0" w:after="0" w:line="240" w:lineRule="auto"/>
                  <w:ind w:left="0"/>
                  <w:contextualSpacing/>
                  <w:rPr>
                    <w:rFonts w:ascii="Arial" w:eastAsia="Arial" w:hAnsi="Arial" w:cs="Arial"/>
                    <w:b/>
                    <w:bCs/>
                    <w:color w:val="000000"/>
                    <w:sz w:val="18"/>
                    <w:szCs w:val="18"/>
                  </w:rPr>
                </w:pPr>
                <w:r>
                  <w:rPr>
                    <w:rFonts w:ascii="Arial" w:eastAsia="Arial" w:hAnsi="Arial" w:cs="Arial"/>
                    <w:b/>
                    <w:bCs/>
                    <w:color w:val="000000"/>
                    <w:sz w:val="18"/>
                    <w:szCs w:val="18"/>
                  </w:rPr>
                  <w:t>Campus Financial Plan/Central University</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3DDF3DA6"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$37.2</w:t>
                </w:r>
              </w:p>
            </w:tc>
            <w:tc>
              <w:tcPr>
                <w:tcW w:w="1275" w:type="dxa"/>
                <w:tcBorders>
                  <w:bottom w:val="single" w:sz="6" w:space="0" w:color="000000"/>
                </w:tcBorders>
                <w:shd w:val="clear" w:color="auto" w:fill="FFFFCC"/>
                <w:tcMar>
                  <w:top w:w="0" w:type="dxa"/>
                  <w:left w:w="38" w:type="dxa"/>
                  <w:bottom w:w="0" w:type="dxa"/>
                  <w:right w:w="38" w:type="dxa"/>
                </w:tcMar>
                <w:vAlign w:val="center"/>
                <w:hideMark/>
              </w:tcPr>
              <w:p w14:paraId="384CD7C1"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3.4%</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76FDE7C5"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$108.6</w:t>
                </w:r>
              </w:p>
            </w:tc>
            <w:tc>
              <w:tcPr>
                <w:tcW w:w="1270" w:type="dxa"/>
                <w:tcBorders>
                  <w:bottom w:val="single" w:sz="6" w:space="0" w:color="000000"/>
                </w:tcBorders>
                <w:shd w:val="clear" w:color="auto" w:fill="FFFFCC"/>
                <w:tcMar>
                  <w:top w:w="0" w:type="dxa"/>
                  <w:left w:w="38" w:type="dxa"/>
                  <w:bottom w:w="0" w:type="dxa"/>
                  <w:right w:w="38" w:type="dxa"/>
                </w:tcMar>
                <w:vAlign w:val="center"/>
                <w:hideMark/>
              </w:tcPr>
              <w:p w14:paraId="05B1568C" w14:textId="77777777" w:rsidR="000F43DC" w:rsidRDefault="00D518E8">
                <w:pPr>
                  <w:spacing w:before="0" w:after="0" w:line="240" w:lineRule="auto"/>
                  <w:ind w:left="0"/>
                  <w:contextualSpacing/>
                  <w:jc w:val="right"/>
                  <w:rPr>
                    <w:rFonts w:ascii="Arial" w:eastAsia="Arial" w:hAnsi="Arial" w:cs="Arial"/>
                    <w:b/>
                    <w:bCs/>
                    <w:color w:val="000000"/>
                    <w:sz w:val="18"/>
                    <w:szCs w:val="18"/>
                  </w:rPr>
                </w:pPr>
                <w:r>
                  <w:rPr>
                    <w:rFonts w:ascii="Arial" w:eastAsia="Arial" w:hAnsi="Arial" w:cs="Arial"/>
                    <w:b/>
                    <w:bCs/>
                    <w:color w:val="000000"/>
                    <w:sz w:val="18"/>
                    <w:szCs w:val="18"/>
                  </w:rPr>
                  <w:t>10.1%</w:t>
                </w:r>
              </w:p>
            </w:tc>
          </w:tr>
        </w:tbl>
      </w:sdtContent>
    </w:sdt>
    <w:p w14:paraId="0620A2B1" w14:textId="77777777" w:rsidR="003856EE" w:rsidRPr="001E0C35" w:rsidRDefault="00D518E8" w:rsidP="003856EE">
      <w:pPr>
        <w:ind w:left="0"/>
      </w:pPr>
      <w:r w:rsidRPr="001E0C35">
        <w:t>Campus Financial Plan includes funding available for investment through the ARPP. Central University includes funding for centrally managed areas including but not limited to the Merit Scholarship, University Utilities, and centrally managed Instructional Facilities budgets. Overages in 202</w:t>
      </w:r>
      <w:r w:rsidR="001E0C35" w:rsidRPr="001E0C35">
        <w:t>6</w:t>
      </w:r>
      <w:r w:rsidRPr="001E0C35">
        <w:t>/2</w:t>
      </w:r>
      <w:r w:rsidR="001E0C35" w:rsidRPr="001E0C35">
        <w:t>7</w:t>
      </w:r>
      <w:r w:rsidRPr="001E0C35">
        <w:t xml:space="preserve"> are a planned spend down of university strategic reserves.</w:t>
      </w:r>
    </w:p>
    <w:p w14:paraId="2D0E1A5F" w14:textId="77777777" w:rsidR="001E0C35" w:rsidRDefault="001E0C35" w:rsidP="003856EE"/>
    <w:p w14:paraId="11167F96" w14:textId="77777777" w:rsidR="001E0C35" w:rsidRDefault="001E0C35" w:rsidP="003856EE"/>
    <w:p w14:paraId="27296580" w14:textId="77777777" w:rsidR="003856EE" w:rsidRPr="009A1597" w:rsidRDefault="00D518E8" w:rsidP="003856EE">
      <w:r w:rsidRPr="009A1597">
        <w:lastRenderedPageBreak/>
        <w:t>Academic support units include the following areas:</w:t>
      </w:r>
    </w:p>
    <w:p w14:paraId="7A27A854" w14:textId="77777777" w:rsidR="003856EE" w:rsidRPr="007F4656" w:rsidRDefault="00D518E8" w:rsidP="003856EE">
      <w:r w:rsidRPr="007F4656">
        <w:rPr>
          <w:b/>
        </w:rPr>
        <w:t xml:space="preserve">University at Buffalo Information Technology. </w:t>
      </w:r>
      <w:r w:rsidRPr="007F4656">
        <w:t xml:space="preserve">Includes Enterprise Application Services; Information Technology (IT) Customer Services; Network &amp; Communication Services; and other IT support. </w:t>
      </w:r>
    </w:p>
    <w:p w14:paraId="5E718DA2" w14:textId="77777777" w:rsidR="003856EE" w:rsidRPr="007F4656" w:rsidRDefault="00D518E8" w:rsidP="003856EE">
      <w:r w:rsidRPr="007F4656">
        <w:rPr>
          <w:b/>
        </w:rPr>
        <w:t>Division of Athletics.</w:t>
      </w:r>
      <w:r w:rsidRPr="007F4656">
        <w:t xml:space="preserve"> Includes UB’s 16 Division I sports; various administrative and student athlete support areas; and Recreation and Intramurals. </w:t>
      </w:r>
    </w:p>
    <w:p w14:paraId="45536814" w14:textId="77777777" w:rsidR="003856EE" w:rsidRPr="007F4656" w:rsidRDefault="00D518E8" w:rsidP="003856EE">
      <w:r w:rsidRPr="007F4656">
        <w:rPr>
          <w:b/>
        </w:rPr>
        <w:t>Finance and Administration</w:t>
      </w:r>
      <w:r w:rsidRPr="007F4656">
        <w:t>. Includes the Office of Finance &amp; Administration; Business Services; Emergency Management; Human Resources; Parking &amp; Transportation Services; Resource Planning; Sustainability; University Police; and University Facilities.</w:t>
      </w:r>
    </w:p>
    <w:p w14:paraId="2BCC9425" w14:textId="77777777" w:rsidR="003856EE" w:rsidRPr="007F4656" w:rsidRDefault="00D518E8" w:rsidP="003856EE">
      <w:r w:rsidRPr="007F4656">
        <w:rPr>
          <w:b/>
        </w:rPr>
        <w:t xml:space="preserve">Health Sciences. </w:t>
      </w:r>
      <w:r w:rsidRPr="007F4656">
        <w:t xml:space="preserve">Includes VP for Health Sciences and office of Interprofessional Education. </w:t>
      </w:r>
    </w:p>
    <w:p w14:paraId="625C10DA" w14:textId="77777777" w:rsidR="003856EE" w:rsidRPr="007F4656" w:rsidRDefault="00D518E8" w:rsidP="003856EE">
      <w:r w:rsidRPr="007F4656">
        <w:rPr>
          <w:b/>
        </w:rPr>
        <w:t>President</w:t>
      </w:r>
      <w:r w:rsidRPr="007F4656">
        <w:t xml:space="preserve">. Includes the office of the President; Equity, Internal Audit, Diversity &amp; Inclusion; Government &amp; Community Relations; and University Events. </w:t>
      </w:r>
    </w:p>
    <w:p w14:paraId="00FF6AFE" w14:textId="77777777" w:rsidR="003856EE" w:rsidRPr="007F4656" w:rsidRDefault="00D518E8" w:rsidP="003856EE">
      <w:r w:rsidRPr="007F4656">
        <w:rPr>
          <w:b/>
        </w:rPr>
        <w:t>Provost</w:t>
      </w:r>
      <w:r w:rsidRPr="007F4656">
        <w:t xml:space="preserve">. Includes office of the Provost; Academic Planning; Enrollment Management; Faculty Affairs; Inclusive Excellence; Institutional Analysis; International Education; Educational Affairs; Educational Opportunity Center; University Libraries; and University Shared Governance. </w:t>
      </w:r>
    </w:p>
    <w:p w14:paraId="61B8460C" w14:textId="77777777" w:rsidR="003856EE" w:rsidRPr="007F4656" w:rsidRDefault="00D518E8" w:rsidP="003856EE">
      <w:r w:rsidRPr="007F4656">
        <w:rPr>
          <w:b/>
        </w:rPr>
        <w:t>Research &amp; Economic Development</w:t>
      </w:r>
      <w:r w:rsidRPr="007F4656">
        <w:t>. Includes Sponsored Research Administration; Communities of Excellence; Research Advancement; Economic Development; Animal Facilities; Research Compliance; and several centers and institutes.</w:t>
      </w:r>
    </w:p>
    <w:p w14:paraId="756427E7" w14:textId="77777777" w:rsidR="003856EE" w:rsidRPr="007F4656" w:rsidRDefault="00D518E8" w:rsidP="003856EE">
      <w:r w:rsidRPr="007F4656">
        <w:rPr>
          <w:b/>
        </w:rPr>
        <w:t>Student Life</w:t>
      </w:r>
      <w:r w:rsidRPr="007F4656">
        <w:t xml:space="preserve">. Includes Student Health &amp; Wellness; Counseling Services; Dean of Students; and Campus Living. </w:t>
      </w:r>
    </w:p>
    <w:p w14:paraId="1E5BC3A7" w14:textId="77777777" w:rsidR="003856EE" w:rsidRPr="007F4656" w:rsidRDefault="00D518E8" w:rsidP="003856EE">
      <w:r w:rsidRPr="007F4656">
        <w:rPr>
          <w:b/>
        </w:rPr>
        <w:t>University Advancement</w:t>
      </w:r>
      <w:r w:rsidRPr="007F4656">
        <w:t xml:space="preserve">. Includes advancement teams for all academic units; Alumni Engagement; Philanthropy.  </w:t>
      </w:r>
    </w:p>
    <w:p w14:paraId="416DA586" w14:textId="77777777" w:rsidR="003856EE" w:rsidRPr="007F4656" w:rsidRDefault="00D518E8" w:rsidP="003856EE">
      <w:r w:rsidRPr="007F4656">
        <w:rPr>
          <w:b/>
        </w:rPr>
        <w:t>University Communications</w:t>
      </w:r>
      <w:r w:rsidRPr="007F4656">
        <w:t>. Includes University Communications; Trademarks and Licensing; and university branding initiatives.</w:t>
      </w:r>
    </w:p>
    <w:p w14:paraId="2673E6F0" w14:textId="77777777" w:rsidR="003856EE" w:rsidRPr="009A5F81" w:rsidRDefault="003856EE" w:rsidP="003856EE">
      <w:pPr>
        <w:rPr>
          <w:highlight w:val="yellow"/>
        </w:rPr>
      </w:pPr>
    </w:p>
    <w:p w14:paraId="476F562F" w14:textId="77777777" w:rsidR="003856EE" w:rsidRPr="007F4656" w:rsidRDefault="00D518E8" w:rsidP="003B5D4A">
      <w:pPr>
        <w:pStyle w:val="Level2"/>
        <w:numPr>
          <w:ilvl w:val="0"/>
          <w:numId w:val="30"/>
        </w:numPr>
        <w:ind w:left="360"/>
      </w:pPr>
      <w:bookmarkStart w:id="33" w:name="_Toc236305198"/>
      <w:r w:rsidRPr="007F4656">
        <w:lastRenderedPageBreak/>
        <w:t>Funding Sources</w:t>
      </w:r>
      <w:bookmarkEnd w:id="33"/>
    </w:p>
    <w:p w14:paraId="154A307A" w14:textId="77777777" w:rsidR="003856EE" w:rsidRPr="00D4008C" w:rsidRDefault="00D518E8" w:rsidP="003856EE">
      <w:r w:rsidRPr="007F4656">
        <w:t>The tables below note the common sources of funding to campus budgets and how those funds are used. Each unit is required to align their costs to the appropriate sources.</w:t>
      </w:r>
      <w:r w:rsidRPr="00D4008C">
        <w:t xml:space="preserve"> </w:t>
      </w:r>
    </w:p>
    <w:p w14:paraId="5A328545" w14:textId="77777777" w:rsidR="003856EE" w:rsidRPr="00D4008C" w:rsidRDefault="00D518E8" w:rsidP="003856EE">
      <w:pPr>
        <w:pStyle w:val="Level3"/>
        <w:spacing w:after="0"/>
      </w:pPr>
      <w:r w:rsidRPr="00D4008C">
        <w:t>State Funds</w:t>
      </w:r>
    </w:p>
    <w:p w14:paraId="5F2F96CF" w14:textId="77777777" w:rsidR="003856EE" w:rsidRPr="00D4008C" w:rsidRDefault="00D518E8" w:rsidP="003856EE">
      <w:pPr>
        <w:pStyle w:val="Level4"/>
      </w:pPr>
      <w:r w:rsidRPr="00D4008C">
        <w:t>Sources of Funds</w:t>
      </w:r>
    </w:p>
    <w:tbl>
      <w:tblPr>
        <w:tblStyle w:val="TableGrid"/>
        <w:tblW w:w="0" w:type="auto"/>
        <w:tblInd w:w="144" w:type="dxa"/>
        <w:tblLook w:val="04A0" w:firstRow="1" w:lastRow="0" w:firstColumn="1" w:lastColumn="0" w:noHBand="0" w:noVBand="1"/>
      </w:tblPr>
      <w:tblGrid>
        <w:gridCol w:w="1371"/>
        <w:gridCol w:w="1120"/>
        <w:gridCol w:w="1405"/>
        <w:gridCol w:w="1405"/>
        <w:gridCol w:w="1405"/>
        <w:gridCol w:w="1250"/>
        <w:gridCol w:w="1250"/>
      </w:tblGrid>
      <w:tr w:rsidR="00E47A96" w14:paraId="2F6DA8ED" w14:textId="77777777" w:rsidTr="00707597">
        <w:tc>
          <w:tcPr>
            <w:tcW w:w="1829" w:type="dxa"/>
            <w:shd w:val="clear" w:color="auto" w:fill="ABD8EC" w:themeFill="accent1" w:themeFillTint="66"/>
          </w:tcPr>
          <w:p w14:paraId="3FB96EDF" w14:textId="77777777" w:rsidR="003856EE" w:rsidRPr="00D4008C" w:rsidRDefault="00D518E8" w:rsidP="00707597">
            <w:pPr>
              <w:spacing w:before="0" w:after="0"/>
              <w:ind w:left="0"/>
              <w:rPr>
                <w:sz w:val="18"/>
              </w:rPr>
            </w:pPr>
            <w:r w:rsidRPr="00D4008C">
              <w:rPr>
                <w:sz w:val="18"/>
              </w:rPr>
              <w:t>State Tax</w:t>
            </w:r>
          </w:p>
        </w:tc>
        <w:tc>
          <w:tcPr>
            <w:tcW w:w="1829" w:type="dxa"/>
            <w:shd w:val="clear" w:color="auto" w:fill="ABD8EC" w:themeFill="accent1" w:themeFillTint="66"/>
          </w:tcPr>
          <w:p w14:paraId="47DF3B86" w14:textId="77777777" w:rsidR="003856EE" w:rsidRPr="00D4008C" w:rsidRDefault="00D518E8" w:rsidP="00707597">
            <w:pPr>
              <w:spacing w:before="0" w:after="0"/>
              <w:ind w:left="0"/>
              <w:rPr>
                <w:sz w:val="18"/>
              </w:rPr>
            </w:pPr>
            <w:r w:rsidRPr="00D4008C">
              <w:rPr>
                <w:sz w:val="18"/>
              </w:rPr>
              <w:t>Tuition Revenue</w:t>
            </w:r>
          </w:p>
        </w:tc>
        <w:tc>
          <w:tcPr>
            <w:tcW w:w="1830" w:type="dxa"/>
            <w:shd w:val="clear" w:color="auto" w:fill="ABD8EC" w:themeFill="accent1" w:themeFillTint="66"/>
          </w:tcPr>
          <w:p w14:paraId="59FB6DB4" w14:textId="77777777" w:rsidR="003856EE" w:rsidRPr="00D4008C" w:rsidRDefault="00D518E8" w:rsidP="00707597">
            <w:pPr>
              <w:spacing w:before="0" w:after="0"/>
              <w:ind w:left="0"/>
              <w:rPr>
                <w:sz w:val="18"/>
              </w:rPr>
            </w:pPr>
            <w:r w:rsidRPr="00D4008C">
              <w:rPr>
                <w:sz w:val="18"/>
              </w:rPr>
              <w:t>Income Fund Reimbursable (IFR)</w:t>
            </w:r>
          </w:p>
        </w:tc>
        <w:tc>
          <w:tcPr>
            <w:tcW w:w="1829" w:type="dxa"/>
            <w:shd w:val="clear" w:color="auto" w:fill="ABD8EC" w:themeFill="accent1" w:themeFillTint="66"/>
          </w:tcPr>
          <w:p w14:paraId="1DAC6D0E" w14:textId="77777777" w:rsidR="003856EE" w:rsidRPr="00D4008C" w:rsidRDefault="00D518E8" w:rsidP="00707597">
            <w:pPr>
              <w:spacing w:before="0" w:after="0"/>
              <w:ind w:left="0"/>
              <w:rPr>
                <w:sz w:val="18"/>
              </w:rPr>
            </w:pPr>
            <w:r w:rsidRPr="00D4008C">
              <w:rPr>
                <w:sz w:val="18"/>
              </w:rPr>
              <w:t>State Univ. Tuition Reimbursable (SUTRA)</w:t>
            </w:r>
          </w:p>
        </w:tc>
        <w:tc>
          <w:tcPr>
            <w:tcW w:w="1830" w:type="dxa"/>
            <w:shd w:val="clear" w:color="auto" w:fill="ABD8EC" w:themeFill="accent1" w:themeFillTint="66"/>
          </w:tcPr>
          <w:p w14:paraId="7AE083AE" w14:textId="77777777" w:rsidR="003856EE" w:rsidRPr="00D4008C" w:rsidRDefault="00D518E8" w:rsidP="00707597">
            <w:pPr>
              <w:spacing w:before="0" w:after="0"/>
              <w:ind w:left="0"/>
              <w:rPr>
                <w:sz w:val="18"/>
              </w:rPr>
            </w:pPr>
            <w:r w:rsidRPr="00D4008C">
              <w:rPr>
                <w:sz w:val="18"/>
              </w:rPr>
              <w:t>Dorm Income Fund Reimbursable (DIFR)</w:t>
            </w:r>
          </w:p>
        </w:tc>
        <w:tc>
          <w:tcPr>
            <w:tcW w:w="1829" w:type="dxa"/>
            <w:shd w:val="clear" w:color="auto" w:fill="ABD8EC" w:themeFill="accent1" w:themeFillTint="66"/>
          </w:tcPr>
          <w:p w14:paraId="1228A300" w14:textId="77777777" w:rsidR="003856EE" w:rsidRPr="00D4008C" w:rsidRDefault="00D518E8" w:rsidP="00707597">
            <w:pPr>
              <w:spacing w:before="0" w:after="0"/>
              <w:ind w:left="0"/>
              <w:rPr>
                <w:sz w:val="18"/>
              </w:rPr>
            </w:pPr>
            <w:r w:rsidRPr="00D4008C">
              <w:rPr>
                <w:sz w:val="18"/>
              </w:rPr>
              <w:t>Research Foundation (RF)</w:t>
            </w:r>
          </w:p>
        </w:tc>
        <w:tc>
          <w:tcPr>
            <w:tcW w:w="1830" w:type="dxa"/>
            <w:shd w:val="clear" w:color="auto" w:fill="ABD8EC" w:themeFill="accent1" w:themeFillTint="66"/>
          </w:tcPr>
          <w:p w14:paraId="3C01E2FC" w14:textId="77777777" w:rsidR="003856EE" w:rsidRPr="00D4008C" w:rsidRDefault="00D518E8" w:rsidP="00707597">
            <w:pPr>
              <w:spacing w:before="0" w:after="0"/>
              <w:ind w:left="0"/>
              <w:rPr>
                <w:sz w:val="18"/>
              </w:rPr>
            </w:pPr>
            <w:r w:rsidRPr="00D4008C">
              <w:rPr>
                <w:sz w:val="18"/>
              </w:rPr>
              <w:t>UB Foundation (UBF)</w:t>
            </w:r>
          </w:p>
        </w:tc>
      </w:tr>
      <w:tr w:rsidR="00E47A96" w14:paraId="6CA4E897" w14:textId="77777777" w:rsidTr="00707597">
        <w:tc>
          <w:tcPr>
            <w:tcW w:w="1829" w:type="dxa"/>
          </w:tcPr>
          <w:p w14:paraId="1CF65B99" w14:textId="77777777" w:rsidR="003856EE" w:rsidRPr="00D4008C" w:rsidRDefault="00D518E8" w:rsidP="00707597">
            <w:pPr>
              <w:spacing w:before="120" w:after="120"/>
              <w:ind w:left="0"/>
              <w:rPr>
                <w:sz w:val="18"/>
              </w:rPr>
            </w:pPr>
            <w:r w:rsidRPr="00D4008C">
              <w:rPr>
                <w:sz w:val="18"/>
              </w:rPr>
              <w:t>Appropriated by NYS Govt.</w:t>
            </w:r>
          </w:p>
          <w:p w14:paraId="3224CBB5" w14:textId="77777777" w:rsidR="003856EE" w:rsidRPr="00D4008C" w:rsidRDefault="00D518E8" w:rsidP="00707597">
            <w:pPr>
              <w:spacing w:before="120" w:after="120"/>
              <w:ind w:left="0"/>
              <w:rPr>
                <w:sz w:val="18"/>
              </w:rPr>
            </w:pPr>
            <w:r w:rsidRPr="00D4008C">
              <w:rPr>
                <w:sz w:val="18"/>
              </w:rPr>
              <w:t>Allocated to campus by SUNY</w:t>
            </w:r>
          </w:p>
        </w:tc>
        <w:tc>
          <w:tcPr>
            <w:tcW w:w="1829" w:type="dxa"/>
          </w:tcPr>
          <w:p w14:paraId="48A7B166" w14:textId="77777777" w:rsidR="003856EE" w:rsidRPr="00D4008C" w:rsidRDefault="00D518E8" w:rsidP="00707597">
            <w:pPr>
              <w:spacing w:before="120" w:after="120"/>
              <w:ind w:left="0"/>
              <w:rPr>
                <w:sz w:val="18"/>
              </w:rPr>
            </w:pPr>
            <w:r w:rsidRPr="00D4008C">
              <w:rPr>
                <w:sz w:val="18"/>
              </w:rPr>
              <w:t>Student tuition payments</w:t>
            </w:r>
          </w:p>
        </w:tc>
        <w:tc>
          <w:tcPr>
            <w:tcW w:w="1830" w:type="dxa"/>
          </w:tcPr>
          <w:p w14:paraId="644D7D4E" w14:textId="77777777" w:rsidR="003856EE" w:rsidRPr="00D4008C" w:rsidRDefault="00D518E8" w:rsidP="00707597">
            <w:pPr>
              <w:spacing w:before="120" w:after="120"/>
              <w:ind w:left="0"/>
              <w:rPr>
                <w:sz w:val="18"/>
              </w:rPr>
            </w:pPr>
            <w:r w:rsidRPr="00D4008C">
              <w:rPr>
                <w:sz w:val="18"/>
              </w:rPr>
              <w:t>Student fee revenue</w:t>
            </w:r>
          </w:p>
          <w:p w14:paraId="0BCCFEB8" w14:textId="77777777" w:rsidR="003856EE" w:rsidRPr="00D4008C" w:rsidRDefault="00D518E8" w:rsidP="00707597">
            <w:pPr>
              <w:spacing w:before="120" w:after="120"/>
              <w:ind w:left="0"/>
              <w:rPr>
                <w:sz w:val="18"/>
              </w:rPr>
            </w:pPr>
            <w:r w:rsidRPr="00D4008C">
              <w:rPr>
                <w:sz w:val="18"/>
              </w:rPr>
              <w:t>External funds self-supporting programs</w:t>
            </w:r>
          </w:p>
        </w:tc>
        <w:tc>
          <w:tcPr>
            <w:tcW w:w="1829" w:type="dxa"/>
          </w:tcPr>
          <w:p w14:paraId="5254831A" w14:textId="77777777" w:rsidR="003856EE" w:rsidRPr="00D4008C" w:rsidRDefault="00D518E8" w:rsidP="00707597">
            <w:pPr>
              <w:spacing w:before="120" w:after="120"/>
              <w:ind w:left="0"/>
              <w:rPr>
                <w:sz w:val="18"/>
              </w:rPr>
            </w:pPr>
            <w:r w:rsidRPr="00D4008C">
              <w:rPr>
                <w:sz w:val="18"/>
              </w:rPr>
              <w:t>Students in Study Abroad, contract courses, etc.</w:t>
            </w:r>
          </w:p>
        </w:tc>
        <w:tc>
          <w:tcPr>
            <w:tcW w:w="1830" w:type="dxa"/>
          </w:tcPr>
          <w:p w14:paraId="0F36675F" w14:textId="77777777" w:rsidR="003856EE" w:rsidRPr="00D4008C" w:rsidRDefault="00D518E8" w:rsidP="00707597">
            <w:pPr>
              <w:spacing w:before="120" w:after="120"/>
              <w:ind w:left="0"/>
              <w:rPr>
                <w:sz w:val="18"/>
              </w:rPr>
            </w:pPr>
            <w:r w:rsidRPr="00D4008C">
              <w:rPr>
                <w:sz w:val="18"/>
              </w:rPr>
              <w:t>Residence Hall rent revenue</w:t>
            </w:r>
          </w:p>
        </w:tc>
        <w:tc>
          <w:tcPr>
            <w:tcW w:w="1829" w:type="dxa"/>
          </w:tcPr>
          <w:p w14:paraId="352862B5" w14:textId="77777777" w:rsidR="003856EE" w:rsidRPr="00D4008C" w:rsidRDefault="00D518E8" w:rsidP="00707597">
            <w:pPr>
              <w:spacing w:before="120" w:after="120"/>
              <w:ind w:left="0"/>
              <w:rPr>
                <w:sz w:val="18"/>
              </w:rPr>
            </w:pPr>
            <w:r w:rsidRPr="00D4008C">
              <w:rPr>
                <w:sz w:val="18"/>
              </w:rPr>
              <w:t>Federal, state, private grants</w:t>
            </w:r>
          </w:p>
          <w:p w14:paraId="695F8042" w14:textId="77777777" w:rsidR="003856EE" w:rsidRPr="00D4008C" w:rsidRDefault="00D518E8" w:rsidP="00707597">
            <w:pPr>
              <w:spacing w:before="120" w:after="120"/>
              <w:ind w:left="0"/>
              <w:rPr>
                <w:sz w:val="18"/>
              </w:rPr>
            </w:pPr>
            <w:r w:rsidRPr="00D4008C">
              <w:rPr>
                <w:sz w:val="18"/>
              </w:rPr>
              <w:t>Indirect cost recovery earnings</w:t>
            </w:r>
          </w:p>
        </w:tc>
        <w:tc>
          <w:tcPr>
            <w:tcW w:w="1830" w:type="dxa"/>
          </w:tcPr>
          <w:p w14:paraId="0FC86143" w14:textId="77777777" w:rsidR="003856EE" w:rsidRPr="00D4008C" w:rsidRDefault="00D518E8" w:rsidP="00707597">
            <w:pPr>
              <w:spacing w:before="120" w:after="120"/>
              <w:ind w:left="0"/>
              <w:rPr>
                <w:sz w:val="18"/>
              </w:rPr>
            </w:pPr>
            <w:r w:rsidRPr="00D4008C">
              <w:rPr>
                <w:sz w:val="18"/>
              </w:rPr>
              <w:t>Donor support</w:t>
            </w:r>
          </w:p>
          <w:p w14:paraId="1547EF6E" w14:textId="77777777" w:rsidR="003856EE" w:rsidRPr="00D4008C" w:rsidRDefault="00D518E8" w:rsidP="00707597">
            <w:pPr>
              <w:spacing w:before="120" w:after="120"/>
              <w:ind w:left="0"/>
              <w:rPr>
                <w:sz w:val="18"/>
              </w:rPr>
            </w:pPr>
            <w:r w:rsidRPr="00D4008C">
              <w:rPr>
                <w:sz w:val="18"/>
              </w:rPr>
              <w:t>On-campus apartment rent</w:t>
            </w:r>
          </w:p>
          <w:p w14:paraId="03B90942" w14:textId="77777777" w:rsidR="003856EE" w:rsidRPr="00D4008C" w:rsidRDefault="00D518E8" w:rsidP="00707597">
            <w:pPr>
              <w:spacing w:before="120" w:after="120"/>
              <w:ind w:left="0"/>
              <w:rPr>
                <w:sz w:val="18"/>
              </w:rPr>
            </w:pPr>
            <w:r w:rsidRPr="00D4008C">
              <w:rPr>
                <w:sz w:val="18"/>
              </w:rPr>
              <w:t>Clinic and other self-supporting program revenues</w:t>
            </w:r>
          </w:p>
        </w:tc>
      </w:tr>
    </w:tbl>
    <w:p w14:paraId="0D7BCADD" w14:textId="77777777" w:rsidR="003856EE" w:rsidRPr="00D4008C" w:rsidRDefault="00D518E8" w:rsidP="003856EE">
      <w:pPr>
        <w:pStyle w:val="Level4"/>
      </w:pPr>
      <w:r w:rsidRPr="00D4008C">
        <w:t>Uses of Funds</w:t>
      </w:r>
    </w:p>
    <w:tbl>
      <w:tblPr>
        <w:tblStyle w:val="TableGrid"/>
        <w:tblW w:w="0" w:type="auto"/>
        <w:tblInd w:w="175" w:type="dxa"/>
        <w:tblLook w:val="04A0" w:firstRow="1" w:lastRow="0" w:firstColumn="1" w:lastColumn="0" w:noHBand="0" w:noVBand="1"/>
      </w:tblPr>
      <w:tblGrid>
        <w:gridCol w:w="1813"/>
        <w:gridCol w:w="648"/>
        <w:gridCol w:w="903"/>
        <w:gridCol w:w="1159"/>
        <w:gridCol w:w="1041"/>
        <w:gridCol w:w="1159"/>
        <w:gridCol w:w="1509"/>
        <w:gridCol w:w="943"/>
      </w:tblGrid>
      <w:tr w:rsidR="00E47A96" w14:paraId="5972D5DC" w14:textId="77777777" w:rsidTr="00707597">
        <w:trPr>
          <w:cantSplit/>
        </w:trPr>
        <w:tc>
          <w:tcPr>
            <w:tcW w:w="3238" w:type="dxa"/>
            <w:shd w:val="clear" w:color="auto" w:fill="ABD8EC" w:themeFill="accent1" w:themeFillTint="66"/>
          </w:tcPr>
          <w:p w14:paraId="61224A3D" w14:textId="77777777" w:rsidR="003856EE" w:rsidRPr="00D4008C" w:rsidRDefault="003856EE" w:rsidP="00707597">
            <w:pPr>
              <w:spacing w:before="0" w:after="0"/>
              <w:ind w:left="0"/>
              <w:rPr>
                <w:sz w:val="18"/>
              </w:rPr>
            </w:pPr>
          </w:p>
        </w:tc>
        <w:tc>
          <w:tcPr>
            <w:tcW w:w="720" w:type="dxa"/>
            <w:shd w:val="clear" w:color="auto" w:fill="ABD8EC" w:themeFill="accent1" w:themeFillTint="66"/>
          </w:tcPr>
          <w:p w14:paraId="7B86EAB6" w14:textId="77777777" w:rsidR="003856EE" w:rsidRPr="00D4008C" w:rsidRDefault="00D518E8" w:rsidP="00707597">
            <w:pPr>
              <w:spacing w:before="0" w:after="0"/>
              <w:ind w:left="0"/>
              <w:rPr>
                <w:sz w:val="18"/>
              </w:rPr>
            </w:pPr>
            <w:r w:rsidRPr="00D4008C">
              <w:rPr>
                <w:sz w:val="18"/>
              </w:rPr>
              <w:t>State</w:t>
            </w:r>
          </w:p>
          <w:p w14:paraId="01E73F2F" w14:textId="77777777" w:rsidR="003856EE" w:rsidRPr="00D4008C" w:rsidRDefault="00D518E8" w:rsidP="00707597">
            <w:pPr>
              <w:spacing w:before="0" w:after="0"/>
              <w:ind w:left="0"/>
              <w:rPr>
                <w:sz w:val="18"/>
              </w:rPr>
            </w:pPr>
            <w:r w:rsidRPr="00D4008C">
              <w:rPr>
                <w:sz w:val="18"/>
              </w:rPr>
              <w:t>Tax</w:t>
            </w:r>
          </w:p>
        </w:tc>
        <w:tc>
          <w:tcPr>
            <w:tcW w:w="903" w:type="dxa"/>
            <w:shd w:val="clear" w:color="auto" w:fill="ABD8EC" w:themeFill="accent1" w:themeFillTint="66"/>
          </w:tcPr>
          <w:p w14:paraId="1F6F9351" w14:textId="77777777" w:rsidR="003856EE" w:rsidRPr="00D4008C" w:rsidRDefault="00D518E8" w:rsidP="00707597">
            <w:pPr>
              <w:spacing w:before="0" w:after="0"/>
              <w:ind w:left="0"/>
              <w:rPr>
                <w:sz w:val="18"/>
              </w:rPr>
            </w:pPr>
            <w:r w:rsidRPr="00D4008C">
              <w:rPr>
                <w:sz w:val="18"/>
              </w:rPr>
              <w:t xml:space="preserve">Tuition </w:t>
            </w:r>
          </w:p>
          <w:p w14:paraId="16734879" w14:textId="77777777" w:rsidR="003856EE" w:rsidRPr="00D4008C" w:rsidRDefault="00D518E8" w:rsidP="00707597">
            <w:pPr>
              <w:spacing w:before="0" w:after="0"/>
              <w:ind w:left="0"/>
              <w:rPr>
                <w:sz w:val="18"/>
              </w:rPr>
            </w:pPr>
            <w:r w:rsidRPr="00D4008C">
              <w:rPr>
                <w:sz w:val="18"/>
              </w:rPr>
              <w:t>Revenue</w:t>
            </w:r>
          </w:p>
        </w:tc>
        <w:tc>
          <w:tcPr>
            <w:tcW w:w="1529" w:type="dxa"/>
            <w:shd w:val="clear" w:color="auto" w:fill="ABD8EC" w:themeFill="accent1" w:themeFillTint="66"/>
          </w:tcPr>
          <w:p w14:paraId="5FAFFD5B" w14:textId="77777777" w:rsidR="003856EE" w:rsidRPr="00D4008C" w:rsidRDefault="00D518E8" w:rsidP="00707597">
            <w:pPr>
              <w:spacing w:before="0" w:after="0"/>
              <w:ind w:left="0"/>
              <w:rPr>
                <w:sz w:val="18"/>
              </w:rPr>
            </w:pPr>
            <w:r w:rsidRPr="00D4008C">
              <w:rPr>
                <w:sz w:val="18"/>
              </w:rPr>
              <w:t>IFR</w:t>
            </w:r>
          </w:p>
        </w:tc>
        <w:tc>
          <w:tcPr>
            <w:tcW w:w="1620" w:type="dxa"/>
            <w:shd w:val="clear" w:color="auto" w:fill="ABD8EC" w:themeFill="accent1" w:themeFillTint="66"/>
          </w:tcPr>
          <w:p w14:paraId="7D977D1F" w14:textId="77777777" w:rsidR="003856EE" w:rsidRPr="00D4008C" w:rsidRDefault="00D518E8" w:rsidP="00707597">
            <w:pPr>
              <w:spacing w:before="0" w:after="0"/>
              <w:ind w:left="0"/>
              <w:rPr>
                <w:sz w:val="18"/>
              </w:rPr>
            </w:pPr>
            <w:r w:rsidRPr="00D4008C">
              <w:rPr>
                <w:sz w:val="18"/>
              </w:rPr>
              <w:t>SUTRA</w:t>
            </w:r>
          </w:p>
        </w:tc>
        <w:tc>
          <w:tcPr>
            <w:tcW w:w="1530" w:type="dxa"/>
            <w:shd w:val="clear" w:color="auto" w:fill="ABD8EC" w:themeFill="accent1" w:themeFillTint="66"/>
          </w:tcPr>
          <w:p w14:paraId="37A81223" w14:textId="77777777" w:rsidR="003856EE" w:rsidRPr="00D4008C" w:rsidRDefault="00D518E8" w:rsidP="00707597">
            <w:pPr>
              <w:spacing w:before="0" w:after="0"/>
              <w:ind w:left="0"/>
              <w:rPr>
                <w:sz w:val="18"/>
              </w:rPr>
            </w:pPr>
            <w:r w:rsidRPr="00D4008C">
              <w:rPr>
                <w:sz w:val="18"/>
              </w:rPr>
              <w:t>DIFR</w:t>
            </w:r>
          </w:p>
        </w:tc>
        <w:tc>
          <w:tcPr>
            <w:tcW w:w="1890" w:type="dxa"/>
            <w:shd w:val="clear" w:color="auto" w:fill="ABD8EC" w:themeFill="accent1" w:themeFillTint="66"/>
          </w:tcPr>
          <w:p w14:paraId="45CC9691" w14:textId="77777777" w:rsidR="003856EE" w:rsidRPr="00D4008C" w:rsidRDefault="00D518E8" w:rsidP="00707597">
            <w:pPr>
              <w:spacing w:before="0" w:after="0"/>
              <w:ind w:left="0"/>
              <w:rPr>
                <w:sz w:val="18"/>
              </w:rPr>
            </w:pPr>
            <w:r w:rsidRPr="00D4008C">
              <w:rPr>
                <w:sz w:val="18"/>
              </w:rPr>
              <w:t>RF</w:t>
            </w:r>
          </w:p>
        </w:tc>
        <w:tc>
          <w:tcPr>
            <w:tcW w:w="1345" w:type="dxa"/>
            <w:shd w:val="clear" w:color="auto" w:fill="ABD8EC" w:themeFill="accent1" w:themeFillTint="66"/>
          </w:tcPr>
          <w:p w14:paraId="54B907F3" w14:textId="77777777" w:rsidR="003856EE" w:rsidRPr="00D4008C" w:rsidRDefault="00D518E8" w:rsidP="00707597">
            <w:pPr>
              <w:spacing w:before="0" w:after="0"/>
              <w:ind w:left="0"/>
              <w:rPr>
                <w:sz w:val="18"/>
              </w:rPr>
            </w:pPr>
            <w:r w:rsidRPr="00D4008C">
              <w:rPr>
                <w:sz w:val="18"/>
              </w:rPr>
              <w:t>UBF</w:t>
            </w:r>
          </w:p>
        </w:tc>
      </w:tr>
      <w:tr w:rsidR="00E47A96" w14:paraId="0C3CE8DB" w14:textId="77777777" w:rsidTr="00707597">
        <w:trPr>
          <w:cantSplit/>
          <w:trHeight w:val="602"/>
        </w:trPr>
        <w:tc>
          <w:tcPr>
            <w:tcW w:w="3238" w:type="dxa"/>
          </w:tcPr>
          <w:p w14:paraId="258337EF" w14:textId="77777777" w:rsidR="003856EE" w:rsidRPr="00D4008C" w:rsidRDefault="00D518E8" w:rsidP="00707597">
            <w:pPr>
              <w:spacing w:before="0" w:after="0"/>
              <w:ind w:left="0"/>
              <w:rPr>
                <w:sz w:val="18"/>
              </w:rPr>
            </w:pPr>
            <w:r w:rsidRPr="00D4008C">
              <w:rPr>
                <w:sz w:val="18"/>
              </w:rPr>
              <w:t>Instructional Salary Expenses</w:t>
            </w:r>
          </w:p>
        </w:tc>
        <w:tc>
          <w:tcPr>
            <w:tcW w:w="720" w:type="dxa"/>
          </w:tcPr>
          <w:p w14:paraId="36058B97" w14:textId="77777777" w:rsidR="003856EE" w:rsidRPr="00D4008C" w:rsidRDefault="00D518E8" w:rsidP="00707597">
            <w:pPr>
              <w:spacing w:before="0" w:after="0"/>
              <w:ind w:left="0"/>
              <w:rPr>
                <w:sz w:val="20"/>
              </w:rPr>
            </w:pPr>
            <w:r w:rsidRPr="00D4008C">
              <w:rPr>
                <w:sz w:val="20"/>
              </w:rPr>
              <w:t>X</w:t>
            </w:r>
          </w:p>
        </w:tc>
        <w:tc>
          <w:tcPr>
            <w:tcW w:w="903" w:type="dxa"/>
          </w:tcPr>
          <w:p w14:paraId="0DC8E970" w14:textId="77777777" w:rsidR="003856EE" w:rsidRPr="00D4008C" w:rsidRDefault="00D518E8" w:rsidP="00707597">
            <w:pPr>
              <w:spacing w:before="0" w:after="0"/>
              <w:ind w:left="0"/>
              <w:rPr>
                <w:sz w:val="20"/>
              </w:rPr>
            </w:pPr>
            <w:r w:rsidRPr="00D4008C">
              <w:rPr>
                <w:sz w:val="20"/>
              </w:rPr>
              <w:t>X</w:t>
            </w:r>
          </w:p>
        </w:tc>
        <w:tc>
          <w:tcPr>
            <w:tcW w:w="1529" w:type="dxa"/>
          </w:tcPr>
          <w:p w14:paraId="6FB02F66" w14:textId="77777777" w:rsidR="003856EE" w:rsidRPr="00D4008C" w:rsidRDefault="00D518E8" w:rsidP="00707597">
            <w:pPr>
              <w:spacing w:before="0" w:after="0"/>
              <w:ind w:left="0"/>
              <w:rPr>
                <w:sz w:val="20"/>
              </w:rPr>
            </w:pPr>
            <w:r w:rsidRPr="00D4008C">
              <w:rPr>
                <w:sz w:val="20"/>
              </w:rPr>
              <w:t>X</w:t>
            </w:r>
          </w:p>
        </w:tc>
        <w:tc>
          <w:tcPr>
            <w:tcW w:w="1620" w:type="dxa"/>
          </w:tcPr>
          <w:p w14:paraId="5517415B" w14:textId="77777777" w:rsidR="003856EE" w:rsidRPr="00D4008C" w:rsidRDefault="00D518E8" w:rsidP="00707597">
            <w:pPr>
              <w:spacing w:before="0" w:after="0"/>
              <w:ind w:left="0"/>
              <w:rPr>
                <w:sz w:val="20"/>
              </w:rPr>
            </w:pPr>
            <w:r w:rsidRPr="00D4008C">
              <w:rPr>
                <w:sz w:val="20"/>
              </w:rPr>
              <w:t>X</w:t>
            </w:r>
          </w:p>
        </w:tc>
        <w:tc>
          <w:tcPr>
            <w:tcW w:w="1530" w:type="dxa"/>
          </w:tcPr>
          <w:p w14:paraId="78333013" w14:textId="77777777" w:rsidR="003856EE" w:rsidRPr="00D4008C" w:rsidRDefault="003856EE" w:rsidP="00707597">
            <w:pPr>
              <w:spacing w:before="0" w:after="0"/>
              <w:ind w:left="0"/>
              <w:rPr>
                <w:sz w:val="20"/>
              </w:rPr>
            </w:pPr>
          </w:p>
        </w:tc>
        <w:tc>
          <w:tcPr>
            <w:tcW w:w="1890" w:type="dxa"/>
          </w:tcPr>
          <w:p w14:paraId="5EC837F2" w14:textId="77777777" w:rsidR="003856EE" w:rsidRPr="00D4008C" w:rsidRDefault="003856EE" w:rsidP="00707597">
            <w:pPr>
              <w:spacing w:before="0" w:after="0"/>
              <w:ind w:left="0"/>
              <w:rPr>
                <w:sz w:val="20"/>
              </w:rPr>
            </w:pPr>
          </w:p>
        </w:tc>
        <w:tc>
          <w:tcPr>
            <w:tcW w:w="1345" w:type="dxa"/>
          </w:tcPr>
          <w:p w14:paraId="4217203F" w14:textId="77777777" w:rsidR="003856EE" w:rsidRPr="00D4008C" w:rsidRDefault="003856EE" w:rsidP="00707597">
            <w:pPr>
              <w:spacing w:before="0" w:after="0"/>
              <w:ind w:left="0"/>
              <w:rPr>
                <w:sz w:val="20"/>
              </w:rPr>
            </w:pPr>
          </w:p>
        </w:tc>
      </w:tr>
      <w:tr w:rsidR="00E47A96" w14:paraId="5E4280B0" w14:textId="77777777" w:rsidTr="00707597">
        <w:trPr>
          <w:cantSplit/>
        </w:trPr>
        <w:tc>
          <w:tcPr>
            <w:tcW w:w="3238" w:type="dxa"/>
          </w:tcPr>
          <w:p w14:paraId="17BDD67A" w14:textId="77777777" w:rsidR="003856EE" w:rsidRPr="00D4008C" w:rsidRDefault="00D518E8" w:rsidP="00707597">
            <w:pPr>
              <w:spacing w:before="0" w:after="0"/>
              <w:ind w:left="0"/>
              <w:rPr>
                <w:sz w:val="18"/>
              </w:rPr>
            </w:pPr>
            <w:r w:rsidRPr="00D4008C">
              <w:rPr>
                <w:sz w:val="18"/>
              </w:rPr>
              <w:t>Non-Instructional Salary Expenses / Salary associated with fee revenue</w:t>
            </w:r>
          </w:p>
        </w:tc>
        <w:tc>
          <w:tcPr>
            <w:tcW w:w="720" w:type="dxa"/>
          </w:tcPr>
          <w:p w14:paraId="68D9D3A5" w14:textId="77777777" w:rsidR="003856EE" w:rsidRPr="00D4008C" w:rsidRDefault="00D518E8" w:rsidP="00707597">
            <w:pPr>
              <w:spacing w:before="0" w:after="0"/>
              <w:ind w:left="0"/>
              <w:rPr>
                <w:sz w:val="20"/>
              </w:rPr>
            </w:pPr>
            <w:r w:rsidRPr="00D4008C">
              <w:rPr>
                <w:sz w:val="20"/>
              </w:rPr>
              <w:t>X</w:t>
            </w:r>
          </w:p>
        </w:tc>
        <w:tc>
          <w:tcPr>
            <w:tcW w:w="903" w:type="dxa"/>
          </w:tcPr>
          <w:p w14:paraId="07994C2B" w14:textId="77777777" w:rsidR="003856EE" w:rsidRPr="00D4008C" w:rsidRDefault="00D518E8" w:rsidP="00707597">
            <w:pPr>
              <w:spacing w:before="0" w:after="0"/>
              <w:ind w:left="0"/>
              <w:rPr>
                <w:sz w:val="20"/>
              </w:rPr>
            </w:pPr>
            <w:r w:rsidRPr="00D4008C">
              <w:rPr>
                <w:sz w:val="20"/>
              </w:rPr>
              <w:t>X</w:t>
            </w:r>
          </w:p>
        </w:tc>
        <w:tc>
          <w:tcPr>
            <w:tcW w:w="1529" w:type="dxa"/>
          </w:tcPr>
          <w:p w14:paraId="1F0BBE54" w14:textId="77777777" w:rsidR="003856EE" w:rsidRPr="00D4008C" w:rsidRDefault="00D518E8" w:rsidP="00707597">
            <w:pPr>
              <w:spacing w:before="0" w:after="0"/>
              <w:ind w:left="0"/>
              <w:rPr>
                <w:sz w:val="20"/>
              </w:rPr>
            </w:pPr>
            <w:r w:rsidRPr="00D4008C">
              <w:rPr>
                <w:sz w:val="20"/>
              </w:rPr>
              <w:t>X</w:t>
            </w:r>
          </w:p>
        </w:tc>
        <w:tc>
          <w:tcPr>
            <w:tcW w:w="1620" w:type="dxa"/>
          </w:tcPr>
          <w:p w14:paraId="2091528B" w14:textId="77777777" w:rsidR="003856EE" w:rsidRPr="00D4008C" w:rsidRDefault="00D518E8" w:rsidP="00707597">
            <w:pPr>
              <w:spacing w:before="0" w:after="0"/>
              <w:ind w:left="0"/>
              <w:rPr>
                <w:sz w:val="20"/>
              </w:rPr>
            </w:pPr>
            <w:r w:rsidRPr="00D4008C">
              <w:rPr>
                <w:sz w:val="20"/>
              </w:rPr>
              <w:t>X</w:t>
            </w:r>
          </w:p>
        </w:tc>
        <w:tc>
          <w:tcPr>
            <w:tcW w:w="1530" w:type="dxa"/>
          </w:tcPr>
          <w:p w14:paraId="0218508D" w14:textId="77777777" w:rsidR="003856EE" w:rsidRPr="00D4008C" w:rsidRDefault="00D518E8" w:rsidP="00707597">
            <w:pPr>
              <w:spacing w:before="0" w:after="0"/>
              <w:ind w:left="0"/>
              <w:rPr>
                <w:sz w:val="20"/>
              </w:rPr>
            </w:pPr>
            <w:r w:rsidRPr="00D4008C">
              <w:rPr>
                <w:sz w:val="20"/>
              </w:rPr>
              <w:t>X</w:t>
            </w:r>
          </w:p>
        </w:tc>
        <w:tc>
          <w:tcPr>
            <w:tcW w:w="1890" w:type="dxa"/>
          </w:tcPr>
          <w:p w14:paraId="79D6F195" w14:textId="77777777" w:rsidR="003856EE" w:rsidRPr="00D4008C" w:rsidRDefault="00D518E8" w:rsidP="00707597">
            <w:pPr>
              <w:spacing w:before="0" w:after="0"/>
              <w:ind w:left="0"/>
              <w:rPr>
                <w:sz w:val="20"/>
              </w:rPr>
            </w:pPr>
            <w:r w:rsidRPr="00D4008C">
              <w:rPr>
                <w:sz w:val="20"/>
              </w:rPr>
              <w:t>X</w:t>
            </w:r>
          </w:p>
        </w:tc>
        <w:tc>
          <w:tcPr>
            <w:tcW w:w="1345" w:type="dxa"/>
          </w:tcPr>
          <w:p w14:paraId="45FEE275" w14:textId="77777777" w:rsidR="003856EE" w:rsidRPr="00D4008C" w:rsidRDefault="00D518E8" w:rsidP="00707597">
            <w:pPr>
              <w:spacing w:before="0" w:after="0"/>
              <w:ind w:left="0"/>
              <w:rPr>
                <w:sz w:val="20"/>
              </w:rPr>
            </w:pPr>
            <w:r w:rsidRPr="00D4008C">
              <w:rPr>
                <w:sz w:val="20"/>
              </w:rPr>
              <w:t>X</w:t>
            </w:r>
          </w:p>
        </w:tc>
      </w:tr>
      <w:tr w:rsidR="00E47A96" w14:paraId="069E8D98" w14:textId="77777777" w:rsidTr="00707597">
        <w:trPr>
          <w:cantSplit/>
          <w:trHeight w:val="701"/>
        </w:trPr>
        <w:tc>
          <w:tcPr>
            <w:tcW w:w="3238" w:type="dxa"/>
          </w:tcPr>
          <w:p w14:paraId="384FC624" w14:textId="77777777" w:rsidR="003856EE" w:rsidRPr="00D4008C" w:rsidRDefault="00D518E8" w:rsidP="00707597">
            <w:pPr>
              <w:spacing w:before="0" w:after="0"/>
              <w:ind w:left="0"/>
              <w:rPr>
                <w:sz w:val="18"/>
              </w:rPr>
            </w:pPr>
            <w:r w:rsidRPr="00D4008C">
              <w:rPr>
                <w:sz w:val="18"/>
              </w:rPr>
              <w:t>Temporary Service Expense</w:t>
            </w:r>
          </w:p>
        </w:tc>
        <w:tc>
          <w:tcPr>
            <w:tcW w:w="720" w:type="dxa"/>
          </w:tcPr>
          <w:p w14:paraId="677123A0" w14:textId="77777777" w:rsidR="003856EE" w:rsidRPr="00D4008C" w:rsidRDefault="00D518E8" w:rsidP="00707597">
            <w:pPr>
              <w:spacing w:before="0" w:after="0"/>
              <w:ind w:left="0"/>
              <w:rPr>
                <w:sz w:val="20"/>
              </w:rPr>
            </w:pPr>
            <w:r w:rsidRPr="00D4008C">
              <w:rPr>
                <w:sz w:val="20"/>
              </w:rPr>
              <w:t>X</w:t>
            </w:r>
          </w:p>
        </w:tc>
        <w:tc>
          <w:tcPr>
            <w:tcW w:w="903" w:type="dxa"/>
          </w:tcPr>
          <w:p w14:paraId="7A709513" w14:textId="77777777" w:rsidR="003856EE" w:rsidRPr="00D4008C" w:rsidRDefault="00D518E8" w:rsidP="00707597">
            <w:pPr>
              <w:spacing w:before="0" w:after="0"/>
              <w:ind w:left="0"/>
              <w:rPr>
                <w:sz w:val="20"/>
              </w:rPr>
            </w:pPr>
            <w:r w:rsidRPr="00D4008C">
              <w:rPr>
                <w:sz w:val="20"/>
              </w:rPr>
              <w:t>X</w:t>
            </w:r>
          </w:p>
        </w:tc>
        <w:tc>
          <w:tcPr>
            <w:tcW w:w="1529" w:type="dxa"/>
          </w:tcPr>
          <w:p w14:paraId="4C1405F1" w14:textId="77777777" w:rsidR="003856EE" w:rsidRPr="00D4008C" w:rsidRDefault="00D518E8" w:rsidP="00707597">
            <w:pPr>
              <w:spacing w:before="0" w:after="0"/>
              <w:ind w:left="0"/>
              <w:rPr>
                <w:sz w:val="20"/>
              </w:rPr>
            </w:pPr>
            <w:r w:rsidRPr="00D4008C">
              <w:rPr>
                <w:sz w:val="20"/>
              </w:rPr>
              <w:t>X</w:t>
            </w:r>
          </w:p>
        </w:tc>
        <w:tc>
          <w:tcPr>
            <w:tcW w:w="1620" w:type="dxa"/>
          </w:tcPr>
          <w:p w14:paraId="3734DB1F" w14:textId="77777777" w:rsidR="003856EE" w:rsidRPr="00D4008C" w:rsidRDefault="00D518E8" w:rsidP="00707597">
            <w:pPr>
              <w:spacing w:before="0" w:after="0"/>
              <w:ind w:left="0"/>
              <w:rPr>
                <w:sz w:val="20"/>
              </w:rPr>
            </w:pPr>
            <w:r w:rsidRPr="00D4008C">
              <w:rPr>
                <w:sz w:val="20"/>
              </w:rPr>
              <w:t>X</w:t>
            </w:r>
          </w:p>
        </w:tc>
        <w:tc>
          <w:tcPr>
            <w:tcW w:w="1530" w:type="dxa"/>
          </w:tcPr>
          <w:p w14:paraId="01C715AC" w14:textId="77777777" w:rsidR="003856EE" w:rsidRPr="00D4008C" w:rsidRDefault="00D518E8" w:rsidP="00707597">
            <w:pPr>
              <w:spacing w:before="0" w:after="0"/>
              <w:ind w:left="0"/>
              <w:rPr>
                <w:sz w:val="20"/>
              </w:rPr>
            </w:pPr>
            <w:r w:rsidRPr="00D4008C">
              <w:rPr>
                <w:sz w:val="20"/>
              </w:rPr>
              <w:t>X</w:t>
            </w:r>
          </w:p>
        </w:tc>
        <w:tc>
          <w:tcPr>
            <w:tcW w:w="1890" w:type="dxa"/>
          </w:tcPr>
          <w:p w14:paraId="4D97200E" w14:textId="77777777" w:rsidR="003856EE" w:rsidRPr="00D4008C" w:rsidRDefault="00D518E8" w:rsidP="00707597">
            <w:pPr>
              <w:spacing w:before="0" w:after="0"/>
              <w:ind w:left="0"/>
              <w:rPr>
                <w:sz w:val="20"/>
              </w:rPr>
            </w:pPr>
            <w:r w:rsidRPr="00D4008C">
              <w:rPr>
                <w:sz w:val="20"/>
              </w:rPr>
              <w:t>X</w:t>
            </w:r>
          </w:p>
        </w:tc>
        <w:tc>
          <w:tcPr>
            <w:tcW w:w="1345" w:type="dxa"/>
          </w:tcPr>
          <w:p w14:paraId="39B5983F" w14:textId="77777777" w:rsidR="003856EE" w:rsidRPr="00D4008C" w:rsidRDefault="00D518E8" w:rsidP="00707597">
            <w:pPr>
              <w:spacing w:before="0" w:after="0"/>
              <w:ind w:left="0"/>
              <w:rPr>
                <w:sz w:val="20"/>
              </w:rPr>
            </w:pPr>
            <w:r w:rsidRPr="00D4008C">
              <w:rPr>
                <w:sz w:val="20"/>
              </w:rPr>
              <w:t>X</w:t>
            </w:r>
          </w:p>
        </w:tc>
      </w:tr>
      <w:tr w:rsidR="00E47A96" w14:paraId="46AF1E28" w14:textId="77777777" w:rsidTr="00707597">
        <w:trPr>
          <w:cantSplit/>
        </w:trPr>
        <w:tc>
          <w:tcPr>
            <w:tcW w:w="3238" w:type="dxa"/>
          </w:tcPr>
          <w:p w14:paraId="0BAAB87E" w14:textId="77777777" w:rsidR="003856EE" w:rsidRPr="00D4008C" w:rsidRDefault="00D518E8" w:rsidP="00707597">
            <w:pPr>
              <w:spacing w:before="0" w:after="0"/>
              <w:ind w:left="0"/>
              <w:rPr>
                <w:sz w:val="18"/>
              </w:rPr>
            </w:pPr>
            <w:r w:rsidRPr="00D4008C">
              <w:rPr>
                <w:sz w:val="18"/>
              </w:rPr>
              <w:t>Fringe Benefit Expense</w:t>
            </w:r>
          </w:p>
        </w:tc>
        <w:tc>
          <w:tcPr>
            <w:tcW w:w="720" w:type="dxa"/>
          </w:tcPr>
          <w:p w14:paraId="2F747D0F" w14:textId="77777777" w:rsidR="003856EE" w:rsidRPr="00D4008C" w:rsidRDefault="00D518E8" w:rsidP="00707597">
            <w:pPr>
              <w:spacing w:before="0" w:after="0"/>
              <w:ind w:left="0"/>
              <w:rPr>
                <w:sz w:val="20"/>
              </w:rPr>
            </w:pPr>
            <w:r w:rsidRPr="00D4008C">
              <w:rPr>
                <w:sz w:val="20"/>
              </w:rPr>
              <w:t>NA</w:t>
            </w:r>
          </w:p>
        </w:tc>
        <w:tc>
          <w:tcPr>
            <w:tcW w:w="903" w:type="dxa"/>
          </w:tcPr>
          <w:p w14:paraId="22EE86A3" w14:textId="77777777" w:rsidR="003856EE" w:rsidRPr="00D4008C" w:rsidRDefault="00D518E8" w:rsidP="00707597">
            <w:pPr>
              <w:spacing w:before="0" w:after="0"/>
              <w:ind w:left="0"/>
              <w:rPr>
                <w:sz w:val="20"/>
              </w:rPr>
            </w:pPr>
            <w:r w:rsidRPr="00D4008C">
              <w:rPr>
                <w:sz w:val="20"/>
              </w:rPr>
              <w:t>NA</w:t>
            </w:r>
          </w:p>
        </w:tc>
        <w:tc>
          <w:tcPr>
            <w:tcW w:w="1529" w:type="dxa"/>
          </w:tcPr>
          <w:p w14:paraId="33AFDB0E" w14:textId="77777777" w:rsidR="003856EE" w:rsidRPr="00D4008C" w:rsidRDefault="00D518E8" w:rsidP="00707597">
            <w:pPr>
              <w:spacing w:before="0" w:after="0"/>
              <w:ind w:left="0"/>
              <w:rPr>
                <w:sz w:val="20"/>
              </w:rPr>
            </w:pPr>
            <w:r>
              <w:rPr>
                <w:sz w:val="20"/>
              </w:rPr>
              <w:t>40</w:t>
            </w:r>
            <w:r w:rsidRPr="00D4008C">
              <w:rPr>
                <w:sz w:val="20"/>
              </w:rPr>
              <w:t>% on salary expenses</w:t>
            </w:r>
          </w:p>
        </w:tc>
        <w:tc>
          <w:tcPr>
            <w:tcW w:w="1620" w:type="dxa"/>
          </w:tcPr>
          <w:p w14:paraId="7C7378A1" w14:textId="77777777" w:rsidR="003856EE" w:rsidRPr="00D4008C" w:rsidRDefault="00D518E8" w:rsidP="00707597">
            <w:pPr>
              <w:spacing w:before="0" w:after="0"/>
              <w:ind w:left="0"/>
              <w:rPr>
                <w:sz w:val="20"/>
              </w:rPr>
            </w:pPr>
            <w:r>
              <w:rPr>
                <w:sz w:val="20"/>
              </w:rPr>
              <w:t>NA</w:t>
            </w:r>
          </w:p>
        </w:tc>
        <w:tc>
          <w:tcPr>
            <w:tcW w:w="1530" w:type="dxa"/>
          </w:tcPr>
          <w:p w14:paraId="74E7C2CE" w14:textId="77777777" w:rsidR="003856EE" w:rsidRPr="00D4008C" w:rsidRDefault="00D518E8" w:rsidP="00707597">
            <w:pPr>
              <w:spacing w:before="0" w:after="0"/>
              <w:ind w:left="0"/>
              <w:rPr>
                <w:sz w:val="20"/>
              </w:rPr>
            </w:pPr>
            <w:r>
              <w:rPr>
                <w:sz w:val="20"/>
              </w:rPr>
              <w:t>40</w:t>
            </w:r>
            <w:r w:rsidRPr="00D4008C">
              <w:rPr>
                <w:sz w:val="20"/>
              </w:rPr>
              <w:t>% on salary expenses</w:t>
            </w:r>
          </w:p>
        </w:tc>
        <w:tc>
          <w:tcPr>
            <w:tcW w:w="1890" w:type="dxa"/>
          </w:tcPr>
          <w:p w14:paraId="7A293EA9" w14:textId="77777777" w:rsidR="003856EE" w:rsidRPr="00D4008C" w:rsidRDefault="00D518E8" w:rsidP="00707597">
            <w:pPr>
              <w:spacing w:before="0" w:after="0"/>
              <w:ind w:left="0"/>
              <w:rPr>
                <w:sz w:val="20"/>
              </w:rPr>
            </w:pPr>
            <w:r w:rsidRPr="00D4008C">
              <w:rPr>
                <w:sz w:val="20"/>
              </w:rPr>
              <w:t>Applicable fringe rate per app</w:t>
            </w:r>
            <w:r>
              <w:rPr>
                <w:sz w:val="20"/>
              </w:rPr>
              <w:t>ointment</w:t>
            </w:r>
            <w:r w:rsidRPr="00D4008C">
              <w:rPr>
                <w:sz w:val="20"/>
              </w:rPr>
              <w:t xml:space="preserve"> type</w:t>
            </w:r>
          </w:p>
        </w:tc>
        <w:tc>
          <w:tcPr>
            <w:tcW w:w="1345" w:type="dxa"/>
          </w:tcPr>
          <w:p w14:paraId="1B55D3E8" w14:textId="77777777" w:rsidR="003856EE" w:rsidRPr="00D4008C" w:rsidRDefault="00D518E8" w:rsidP="00707597">
            <w:pPr>
              <w:spacing w:before="0" w:after="0"/>
              <w:ind w:left="0"/>
              <w:rPr>
                <w:sz w:val="20"/>
              </w:rPr>
            </w:pPr>
            <w:r w:rsidRPr="00D4008C">
              <w:rPr>
                <w:sz w:val="20"/>
              </w:rPr>
              <w:t xml:space="preserve">Actual fringe cost </w:t>
            </w:r>
          </w:p>
        </w:tc>
      </w:tr>
      <w:tr w:rsidR="00E47A96" w14:paraId="2973C602" w14:textId="77777777" w:rsidTr="00707597">
        <w:trPr>
          <w:cantSplit/>
        </w:trPr>
        <w:tc>
          <w:tcPr>
            <w:tcW w:w="3238" w:type="dxa"/>
          </w:tcPr>
          <w:p w14:paraId="4724CB2F" w14:textId="77777777" w:rsidR="003856EE" w:rsidRPr="00D4008C" w:rsidRDefault="00D518E8" w:rsidP="00707597">
            <w:pPr>
              <w:spacing w:before="0" w:after="0"/>
              <w:ind w:left="0"/>
              <w:rPr>
                <w:sz w:val="18"/>
              </w:rPr>
            </w:pPr>
            <w:r w:rsidRPr="00D4008C">
              <w:rPr>
                <w:sz w:val="18"/>
              </w:rPr>
              <w:t xml:space="preserve">Non-Salary Expense (e.g., contractual </w:t>
            </w:r>
            <w:r>
              <w:rPr>
                <w:sz w:val="18"/>
              </w:rPr>
              <w:t>services</w:t>
            </w:r>
            <w:r w:rsidRPr="00D4008C">
              <w:rPr>
                <w:sz w:val="18"/>
              </w:rPr>
              <w:t>, supplies, travel, prof fees, equipment)</w:t>
            </w:r>
          </w:p>
        </w:tc>
        <w:tc>
          <w:tcPr>
            <w:tcW w:w="720" w:type="dxa"/>
          </w:tcPr>
          <w:p w14:paraId="69939E11" w14:textId="77777777" w:rsidR="003856EE" w:rsidRPr="00D4008C" w:rsidRDefault="00D518E8" w:rsidP="00707597">
            <w:pPr>
              <w:spacing w:before="0" w:after="0"/>
              <w:ind w:left="0"/>
              <w:rPr>
                <w:sz w:val="20"/>
              </w:rPr>
            </w:pPr>
            <w:r w:rsidRPr="00D4008C">
              <w:rPr>
                <w:sz w:val="20"/>
              </w:rPr>
              <w:t>X</w:t>
            </w:r>
          </w:p>
        </w:tc>
        <w:tc>
          <w:tcPr>
            <w:tcW w:w="903" w:type="dxa"/>
          </w:tcPr>
          <w:p w14:paraId="5F23E3C4" w14:textId="77777777" w:rsidR="003856EE" w:rsidRPr="00D4008C" w:rsidRDefault="00D518E8" w:rsidP="00707597">
            <w:pPr>
              <w:spacing w:before="0" w:after="0"/>
              <w:ind w:left="0"/>
              <w:rPr>
                <w:sz w:val="20"/>
              </w:rPr>
            </w:pPr>
            <w:r w:rsidRPr="00D4008C">
              <w:rPr>
                <w:sz w:val="20"/>
              </w:rPr>
              <w:t>X</w:t>
            </w:r>
          </w:p>
        </w:tc>
        <w:tc>
          <w:tcPr>
            <w:tcW w:w="1529" w:type="dxa"/>
          </w:tcPr>
          <w:p w14:paraId="7EE5BE20" w14:textId="77777777" w:rsidR="003856EE" w:rsidRPr="00D4008C" w:rsidRDefault="00D518E8" w:rsidP="00707597">
            <w:pPr>
              <w:spacing w:before="0" w:after="0"/>
              <w:ind w:left="0"/>
              <w:rPr>
                <w:sz w:val="20"/>
              </w:rPr>
            </w:pPr>
            <w:r w:rsidRPr="00D4008C">
              <w:rPr>
                <w:sz w:val="20"/>
              </w:rPr>
              <w:t>X</w:t>
            </w:r>
          </w:p>
        </w:tc>
        <w:tc>
          <w:tcPr>
            <w:tcW w:w="1620" w:type="dxa"/>
          </w:tcPr>
          <w:p w14:paraId="4EBBCF5B" w14:textId="77777777" w:rsidR="003856EE" w:rsidRPr="00D4008C" w:rsidRDefault="00D518E8" w:rsidP="00707597">
            <w:pPr>
              <w:spacing w:before="0" w:after="0"/>
              <w:ind w:left="0"/>
              <w:rPr>
                <w:sz w:val="20"/>
              </w:rPr>
            </w:pPr>
            <w:r w:rsidRPr="00D4008C">
              <w:rPr>
                <w:sz w:val="20"/>
              </w:rPr>
              <w:t>X</w:t>
            </w:r>
          </w:p>
        </w:tc>
        <w:tc>
          <w:tcPr>
            <w:tcW w:w="1530" w:type="dxa"/>
          </w:tcPr>
          <w:p w14:paraId="160EA81C" w14:textId="77777777" w:rsidR="003856EE" w:rsidRPr="00D4008C" w:rsidRDefault="00D518E8" w:rsidP="00707597">
            <w:pPr>
              <w:spacing w:before="0" w:after="0"/>
              <w:ind w:left="0"/>
              <w:rPr>
                <w:sz w:val="20"/>
              </w:rPr>
            </w:pPr>
            <w:r w:rsidRPr="00D4008C">
              <w:rPr>
                <w:sz w:val="20"/>
              </w:rPr>
              <w:t>X</w:t>
            </w:r>
          </w:p>
        </w:tc>
        <w:tc>
          <w:tcPr>
            <w:tcW w:w="1890" w:type="dxa"/>
          </w:tcPr>
          <w:p w14:paraId="4B53E9AD" w14:textId="77777777" w:rsidR="003856EE" w:rsidRPr="00D4008C" w:rsidRDefault="00D518E8" w:rsidP="00707597">
            <w:pPr>
              <w:spacing w:before="0" w:after="0"/>
              <w:ind w:left="0"/>
              <w:rPr>
                <w:sz w:val="20"/>
              </w:rPr>
            </w:pPr>
            <w:r w:rsidRPr="00D4008C">
              <w:rPr>
                <w:sz w:val="20"/>
              </w:rPr>
              <w:t>X</w:t>
            </w:r>
          </w:p>
        </w:tc>
        <w:tc>
          <w:tcPr>
            <w:tcW w:w="1345" w:type="dxa"/>
          </w:tcPr>
          <w:p w14:paraId="6D3871D4" w14:textId="77777777" w:rsidR="003856EE" w:rsidRPr="00D4008C" w:rsidRDefault="00D518E8" w:rsidP="00707597">
            <w:pPr>
              <w:spacing w:before="0" w:after="0"/>
              <w:ind w:left="0"/>
              <w:rPr>
                <w:sz w:val="20"/>
              </w:rPr>
            </w:pPr>
            <w:r w:rsidRPr="00D4008C">
              <w:rPr>
                <w:sz w:val="20"/>
              </w:rPr>
              <w:t>X</w:t>
            </w:r>
          </w:p>
        </w:tc>
      </w:tr>
    </w:tbl>
    <w:p w14:paraId="597FF518" w14:textId="77777777" w:rsidR="003856EE" w:rsidRPr="00D4008C" w:rsidRDefault="003856EE" w:rsidP="003856EE">
      <w:pPr>
        <w:spacing w:before="0" w:after="160"/>
        <w:ind w:left="0"/>
        <w:rPr>
          <w:b/>
          <w:color w:val="393939" w:themeColor="background2" w:themeShade="40"/>
          <w:sz w:val="28"/>
        </w:rPr>
      </w:pPr>
    </w:p>
    <w:p w14:paraId="1CEA86AB" w14:textId="77777777" w:rsidR="003856EE" w:rsidRPr="007F4656" w:rsidRDefault="00D518E8" w:rsidP="003856EE">
      <w:pPr>
        <w:pStyle w:val="Level3"/>
        <w:spacing w:after="0"/>
      </w:pPr>
      <w:r w:rsidRPr="007F4656">
        <w:lastRenderedPageBreak/>
        <w:t xml:space="preserve">State Operating </w:t>
      </w:r>
    </w:p>
    <w:p w14:paraId="6C3D05A4" w14:textId="77777777" w:rsidR="003856EE" w:rsidRPr="007F4656" w:rsidRDefault="00D518E8" w:rsidP="003856EE">
      <w:r w:rsidRPr="007F4656">
        <w:t xml:space="preserve">State Operating accounts are funded from state tax dollars and campus revenues from tuition and certain other sources. Units receive a state operating allocation as part of their base budget. Changes to unit state budget allocations are commonly the result of budget model implementation and strategic investments awarded through the annual resource planning process.  </w:t>
      </w:r>
    </w:p>
    <w:p w14:paraId="7C0E5544" w14:textId="77777777" w:rsidR="003856EE" w:rsidRPr="007F4656" w:rsidRDefault="00D518E8" w:rsidP="003856EE">
      <w:pPr>
        <w:pStyle w:val="Level3"/>
      </w:pPr>
      <w:r w:rsidRPr="007F4656">
        <w:t>Income Fund Reimbursable (IFR)</w:t>
      </w:r>
    </w:p>
    <w:p w14:paraId="4CEA1919" w14:textId="77777777" w:rsidR="003856EE" w:rsidRPr="007F4656" w:rsidRDefault="00D518E8" w:rsidP="003856EE">
      <w:r w:rsidRPr="007F4656">
        <w:t>IFR accounts are self-supporting accounts that track cash collections and matching expenditures associated with educational and related activities provided to students and other customers. An IFR account differs from a State Operating account in that it is supported by cash receipts. The source of the revenue determines whether the General University Service Fee will be assessed. The primary sources of revenue for IFR accounts include:</w:t>
      </w:r>
    </w:p>
    <w:p w14:paraId="4BD1B69D" w14:textId="77777777" w:rsidR="003856EE" w:rsidRPr="007F4656" w:rsidRDefault="00D518E8" w:rsidP="003856EE">
      <w:pPr>
        <w:pStyle w:val="bulletub"/>
      </w:pPr>
      <w:r w:rsidRPr="007F4656">
        <w:t>Salary recovery (payment from Research Foundation grants for the salary and fringe benefits of individuals on the state payroll who work on sponsored programs)</w:t>
      </w:r>
    </w:p>
    <w:p w14:paraId="47577967" w14:textId="77777777" w:rsidR="003856EE" w:rsidRPr="007F4656" w:rsidRDefault="00D518E8" w:rsidP="003856EE">
      <w:pPr>
        <w:pStyle w:val="bulletub"/>
      </w:pPr>
      <w:r w:rsidRPr="007F4656">
        <w:t>Fees, fines, deposits and rentals (course fees, parking, photocopying, rental of campus facilities, library fines, etc.)</w:t>
      </w:r>
    </w:p>
    <w:p w14:paraId="01D9527E" w14:textId="77777777" w:rsidR="003856EE" w:rsidRPr="007F4656" w:rsidRDefault="00D518E8" w:rsidP="003856EE">
      <w:pPr>
        <w:pStyle w:val="bulletub"/>
      </w:pPr>
      <w:r w:rsidRPr="007F4656">
        <w:t xml:space="preserve">State grants and awards </w:t>
      </w:r>
    </w:p>
    <w:p w14:paraId="093E58BC" w14:textId="77777777" w:rsidR="003856EE" w:rsidRPr="007F4656" w:rsidRDefault="00D518E8" w:rsidP="003856EE">
      <w:pPr>
        <w:pStyle w:val="bulletub"/>
      </w:pPr>
      <w:r w:rsidRPr="007F4656">
        <w:t xml:space="preserve">Continuing education programs. </w:t>
      </w:r>
    </w:p>
    <w:p w14:paraId="37DED72D" w14:textId="77777777" w:rsidR="003856EE" w:rsidRPr="007F4656" w:rsidRDefault="00D518E8" w:rsidP="003856EE">
      <w:pPr>
        <w:pStyle w:val="Level3"/>
      </w:pPr>
      <w:r w:rsidRPr="007F4656">
        <w:t>State University Tuition Reimbursable (SUTRA)</w:t>
      </w:r>
    </w:p>
    <w:p w14:paraId="7AF1B0A0" w14:textId="77777777" w:rsidR="003856EE" w:rsidRPr="007F4656" w:rsidRDefault="00D518E8" w:rsidP="003856EE">
      <w:r w:rsidRPr="007F4656">
        <w:t>State University Tuition Reimbursable Accounts funding is generated from self-supporting overseas programs, contract courses, summer and winter session tuition.  Units receive summer session base budget and tuition revenue share via commitments solidified through the ARPP process. SUTRA accounts operate similar to Income Fund Reimbursable (IFR) accounts.</w:t>
      </w:r>
    </w:p>
    <w:p w14:paraId="2511F27F" w14:textId="77777777" w:rsidR="003856EE" w:rsidRPr="007F4656" w:rsidRDefault="00D518E8" w:rsidP="003856EE">
      <w:pPr>
        <w:pStyle w:val="Level4"/>
        <w:ind w:left="360"/>
        <w:rPr>
          <w:i w:val="0"/>
          <w:iCs/>
          <w:color w:val="auto"/>
          <w:sz w:val="28"/>
          <w:szCs w:val="28"/>
        </w:rPr>
      </w:pPr>
      <w:r w:rsidRPr="007F4656">
        <w:rPr>
          <w:i w:val="0"/>
          <w:iCs/>
          <w:color w:val="auto"/>
          <w:sz w:val="28"/>
          <w:szCs w:val="28"/>
        </w:rPr>
        <w:t>Dormitory Income Fund Reimbursable (DIFR)</w:t>
      </w:r>
    </w:p>
    <w:p w14:paraId="3C90BC17" w14:textId="77777777" w:rsidR="003856EE" w:rsidRPr="007F4656" w:rsidRDefault="00D518E8" w:rsidP="003856EE">
      <w:pPr>
        <w:pStyle w:val="normal2"/>
        <w:ind w:left="360"/>
      </w:pPr>
      <w:r w:rsidRPr="007F4656">
        <w:t>Dormitory Income Fund Reimbursable is a group of accounts that are self-supporting and used to administer residence hall room rental fees and charges. DIFR accounts operate similar to IFR accounts.</w:t>
      </w:r>
    </w:p>
    <w:p w14:paraId="178CA2E9" w14:textId="77777777" w:rsidR="003856EE" w:rsidRPr="007F4656" w:rsidRDefault="00D518E8" w:rsidP="003856EE">
      <w:pPr>
        <w:pStyle w:val="Level4"/>
        <w:ind w:left="360"/>
        <w:rPr>
          <w:i w:val="0"/>
          <w:iCs/>
          <w:color w:val="auto"/>
          <w:sz w:val="28"/>
          <w:szCs w:val="28"/>
        </w:rPr>
      </w:pPr>
      <w:r w:rsidRPr="007F4656">
        <w:rPr>
          <w:i w:val="0"/>
          <w:iCs/>
          <w:color w:val="auto"/>
          <w:sz w:val="28"/>
          <w:szCs w:val="28"/>
        </w:rPr>
        <w:lastRenderedPageBreak/>
        <w:t>Research Foundation (RF)</w:t>
      </w:r>
    </w:p>
    <w:p w14:paraId="09529559" w14:textId="77777777" w:rsidR="003856EE" w:rsidRPr="007F4656" w:rsidRDefault="00D518E8" w:rsidP="003856EE">
      <w:pPr>
        <w:pStyle w:val="normal2"/>
        <w:ind w:left="360"/>
      </w:pPr>
      <w:r w:rsidRPr="007F4656">
        <w:t xml:space="preserve">Research Foundation accounts record research, instruction, training and economic development activities conducted under the direction of university faculty and staff and funded by organizations both external and internal to the university. There are two distinct types of RF accounts: Sponsored accounts and Non-Sponsored accounts.  </w:t>
      </w:r>
    </w:p>
    <w:p w14:paraId="40381C7F" w14:textId="77777777" w:rsidR="003856EE" w:rsidRPr="007F4656" w:rsidRDefault="00D518E8" w:rsidP="003856EE">
      <w:pPr>
        <w:pStyle w:val="normal2"/>
        <w:ind w:left="360"/>
      </w:pPr>
      <w:r w:rsidRPr="007F4656">
        <w:t xml:space="preserve">Sponsored accounts are funded by sponsors external to the university and are used for programs of research, scholarly and creative activities, education and training, and public service. </w:t>
      </w:r>
    </w:p>
    <w:p w14:paraId="43AA1193" w14:textId="77777777" w:rsidR="003856EE" w:rsidRPr="007F4656" w:rsidRDefault="00D518E8" w:rsidP="003856EE">
      <w:pPr>
        <w:pStyle w:val="normal2"/>
        <w:ind w:left="360"/>
      </w:pPr>
      <w:r w:rsidRPr="007F4656">
        <w:t>Non-sponsored accounts are funded by indirect cost dollars. The university receives Indirect Cost funds as reimbursement for overhead costs associated with sponsored research. Indirect Costs, also known as Facilities and Administrative (F&amp;A) costs or overhead costs, are real costs related to sponsored projects that are not easily attributable to individual projects. Examples include maintenance, security, heating, cooling, lighting, space, disposal of hazardous waste, secretarial support, the library, and cost of compliance with government regulations.</w:t>
      </w:r>
    </w:p>
    <w:p w14:paraId="6E70FB48" w14:textId="77777777" w:rsidR="003856EE" w:rsidRPr="007F4656" w:rsidRDefault="00D518E8" w:rsidP="003856EE">
      <w:pPr>
        <w:pStyle w:val="normal2"/>
        <w:ind w:left="360"/>
        <w:rPr>
          <w:sz w:val="20"/>
        </w:rPr>
      </w:pPr>
      <w:r w:rsidRPr="007F4656">
        <w:t>UB recovers the total direct costs and indirect (facilities and administrative (F&amp;A)) costs for each sponsored award unless specifically prohibited or limited by the funding agency. Because indirect (F&amp;A) costs cannot be readily assigned to a particular sponsored project or activity, they must be recovered from funding agencies through the application of the federally approved indirect (F&amp;A) cost rates. When allowed by the sponsor, all proposals for external funding must include a budget request for indirect (F&amp;A) costs using the appropriate federal rate.</w:t>
      </w:r>
    </w:p>
    <w:p w14:paraId="7F64F2E9" w14:textId="77777777" w:rsidR="003856EE" w:rsidRPr="007F4656" w:rsidRDefault="00D518E8" w:rsidP="003856EE">
      <w:pPr>
        <w:pStyle w:val="normal2"/>
        <w:ind w:left="360"/>
      </w:pPr>
      <w:r w:rsidRPr="007F4656">
        <w:rPr>
          <w:u w:val="single"/>
        </w:rPr>
        <w:t xml:space="preserve">Royalty Income*: </w:t>
      </w:r>
      <w:r w:rsidRPr="007F4656">
        <w:t xml:space="preserve">Royalty income is realized from the commercialization of UB intellectual property. When UB intellectual property is licensed and generates royalty for UB, that royalty is shared with those who made the innovation, in accordance with the Royalty Distribution Policy. After paying the inventors’ share of royalty income, the remaining portion is shared across departments and schools of the inventors, as well as with the university. The department, school and university share of Research Foundation non-sponsored funds must be used to support scientific research or education. </w:t>
      </w:r>
    </w:p>
    <w:p w14:paraId="5EC7DB4A" w14:textId="77777777" w:rsidR="003856EE" w:rsidRPr="007F4656" w:rsidRDefault="00D518E8" w:rsidP="003856EE">
      <w:pPr>
        <w:pStyle w:val="normal2"/>
        <w:ind w:left="360"/>
      </w:pPr>
      <w:r w:rsidRPr="007F4656">
        <w:rPr>
          <w:i/>
          <w:iCs/>
        </w:rPr>
        <w:t>*All royalty income designated to a campus allocated account MUST be utilized for the support of scientific research or education per the Bayh-Dole Act which governs intellectual property arising from federal government-funded</w:t>
      </w:r>
      <w:r w:rsidRPr="007F4656">
        <w:t xml:space="preserve"> research. Since the majority (if not all) of UB intellectual property (IP) arises from federal-funded research, all intellectual property is managed by Bayh-Dole Act. </w:t>
      </w:r>
    </w:p>
    <w:p w14:paraId="34348F75" w14:textId="77777777" w:rsidR="003856EE" w:rsidRPr="007F4656" w:rsidRDefault="00D518E8" w:rsidP="003856EE">
      <w:pPr>
        <w:pStyle w:val="learnmore"/>
        <w:ind w:left="360"/>
        <w:rPr>
          <w:rStyle w:val="Hyperlink"/>
          <w:b w:val="0"/>
          <w:i w:val="0"/>
          <w:color w:val="0070C0"/>
          <w:sz w:val="24"/>
        </w:rPr>
      </w:pPr>
      <w:r w:rsidRPr="007F4656">
        <w:rPr>
          <w:b w:val="0"/>
          <w:sz w:val="24"/>
        </w:rPr>
        <w:lastRenderedPageBreak/>
        <w:t xml:space="preserve">Learn more about the </w:t>
      </w:r>
      <w:hyperlink r:id="rId41" w:history="1">
        <w:r w:rsidR="003856EE" w:rsidRPr="007F4656">
          <w:rPr>
            <w:rStyle w:val="Hyperlink"/>
            <w:b w:val="0"/>
            <w:i w:val="0"/>
            <w:color w:val="0070C0"/>
            <w:sz w:val="24"/>
          </w:rPr>
          <w:t>Bayh-Dole Act</w:t>
        </w:r>
      </w:hyperlink>
    </w:p>
    <w:p w14:paraId="5F7052B8" w14:textId="77777777" w:rsidR="003856EE" w:rsidRPr="007F4656" w:rsidRDefault="00D518E8" w:rsidP="003856EE">
      <w:pPr>
        <w:pStyle w:val="normal2"/>
        <w:ind w:left="360"/>
      </w:pPr>
      <w:r w:rsidRPr="007F4656">
        <w:rPr>
          <w:u w:val="single"/>
        </w:rPr>
        <w:t xml:space="preserve">Patent Income: </w:t>
      </w:r>
      <w:r w:rsidRPr="007F4656">
        <w:t>Patent reimbursement funds support the UB Technology Transfer Office (TT), through the Vice President of Research and Economic Development (VPRED) in the Internal Financial Plan and recouped by the university through patent reimbursements.</w:t>
      </w:r>
    </w:p>
    <w:p w14:paraId="7322472A" w14:textId="77777777" w:rsidR="003856EE" w:rsidRPr="007F4656" w:rsidRDefault="00D518E8" w:rsidP="003856EE">
      <w:pPr>
        <w:pStyle w:val="Level4"/>
        <w:ind w:left="360"/>
        <w:rPr>
          <w:i w:val="0"/>
          <w:iCs/>
          <w:color w:val="auto"/>
          <w:sz w:val="28"/>
          <w:szCs w:val="28"/>
        </w:rPr>
      </w:pPr>
      <w:r w:rsidRPr="007F4656">
        <w:rPr>
          <w:i w:val="0"/>
          <w:iCs/>
          <w:color w:val="auto"/>
          <w:sz w:val="28"/>
          <w:szCs w:val="28"/>
        </w:rPr>
        <w:t>UB Foundation (UBF)</w:t>
      </w:r>
    </w:p>
    <w:p w14:paraId="05110CCC" w14:textId="77777777" w:rsidR="003856EE" w:rsidRPr="007F4656" w:rsidRDefault="00D518E8" w:rsidP="003856EE">
      <w:pPr>
        <w:pStyle w:val="normal2"/>
        <w:ind w:left="360"/>
      </w:pPr>
      <w:r w:rsidRPr="007F4656">
        <w:t xml:space="preserve">Funds managed by UBF support and promote UB activities and programs. UBF accounts are funded primarily from gifts, endowed funds, grants and fee revenues. </w:t>
      </w:r>
    </w:p>
    <w:p w14:paraId="7A24AF5E" w14:textId="77777777" w:rsidR="003856EE" w:rsidRPr="007F4656" w:rsidRDefault="00D518E8" w:rsidP="003856EE">
      <w:pPr>
        <w:pStyle w:val="learnmore"/>
        <w:ind w:left="360"/>
        <w:rPr>
          <w:b w:val="0"/>
        </w:rPr>
      </w:pPr>
      <w:r w:rsidRPr="007F4656">
        <w:rPr>
          <w:b w:val="0"/>
          <w:sz w:val="24"/>
        </w:rPr>
        <w:t>Learn more about</w:t>
      </w:r>
      <w:r w:rsidRPr="007F4656">
        <w:rPr>
          <w:b w:val="0"/>
        </w:rPr>
        <w:t xml:space="preserve"> </w:t>
      </w:r>
      <w:hyperlink r:id="rId42" w:history="1">
        <w:r w:rsidR="003856EE" w:rsidRPr="007F4656">
          <w:rPr>
            <w:rStyle w:val="Hyperlink"/>
            <w:b w:val="0"/>
            <w:i w:val="0"/>
            <w:color w:val="0070C0"/>
            <w:sz w:val="24"/>
          </w:rPr>
          <w:t>UB Foundation funding sources</w:t>
        </w:r>
      </w:hyperlink>
    </w:p>
    <w:p w14:paraId="6C68B15E" w14:textId="77777777" w:rsidR="003856EE" w:rsidRPr="007F4656" w:rsidRDefault="00D518E8" w:rsidP="003856EE">
      <w:pPr>
        <w:pStyle w:val="Level1"/>
      </w:pPr>
      <w:bookmarkStart w:id="34" w:name="_Toc236305199"/>
      <w:r w:rsidRPr="007F4656">
        <w:t>Financial Section</w:t>
      </w:r>
      <w:bookmarkEnd w:id="34"/>
    </w:p>
    <w:p w14:paraId="076945AF" w14:textId="77777777" w:rsidR="003856EE" w:rsidRPr="007F4656" w:rsidRDefault="00D518E8" w:rsidP="003856EE">
      <w:pPr>
        <w:ind w:left="0"/>
      </w:pPr>
      <w:r w:rsidRPr="007F4656">
        <w:t>Each year, UB provides an Overview of Financial Activities that is designed to provide UB’s leadership with a comprehensive, high-level summary of financial information campus to assist with decision making.</w:t>
      </w:r>
    </w:p>
    <w:p w14:paraId="6CA2F8A7" w14:textId="77777777" w:rsidR="003856EE" w:rsidRPr="007F4656" w:rsidRDefault="00D518E8" w:rsidP="003B5D4A">
      <w:pPr>
        <w:pStyle w:val="subsectionno"/>
        <w:numPr>
          <w:ilvl w:val="0"/>
          <w:numId w:val="18"/>
        </w:numPr>
      </w:pPr>
      <w:r w:rsidRPr="007F4656">
        <w:rPr>
          <w:b/>
          <w:bCs/>
        </w:rPr>
        <w:t>UB Financial Statements</w:t>
      </w:r>
      <w:r w:rsidRPr="007F4656">
        <w:rPr>
          <w:rFonts w:ascii="Times New Roman" w:hAnsi="Times New Roman"/>
          <w:b/>
          <w:bCs/>
          <w:color w:val="005BBB"/>
        </w:rPr>
        <w:t xml:space="preserve">. </w:t>
      </w:r>
      <w:r w:rsidRPr="007F4656">
        <w:t>Annual financial statements for the fiscal year ending June 30. These unaudited financial statements are compiled based on State University of New York (SUNY) campus-level financial reports representing the operations for state and research foundation activities.</w:t>
      </w:r>
    </w:p>
    <w:p w14:paraId="432A13B5" w14:textId="77777777" w:rsidR="003856EE" w:rsidRPr="007F4656" w:rsidRDefault="00D518E8" w:rsidP="003B5D4A">
      <w:pPr>
        <w:pStyle w:val="subsectionno"/>
        <w:numPr>
          <w:ilvl w:val="0"/>
          <w:numId w:val="31"/>
        </w:numPr>
      </w:pPr>
      <w:r w:rsidRPr="007F4656">
        <w:t>Audited financial statements for UB are included in the appendix to the Overview of Financial Activities.</w:t>
      </w:r>
    </w:p>
    <w:p w14:paraId="4042D61A" w14:textId="77777777" w:rsidR="003856EE" w:rsidRPr="007F4656" w:rsidRDefault="00D518E8" w:rsidP="003B5D4A">
      <w:pPr>
        <w:pStyle w:val="subsectionno"/>
        <w:numPr>
          <w:ilvl w:val="0"/>
          <w:numId w:val="18"/>
        </w:numPr>
      </w:pPr>
      <w:r w:rsidRPr="007F4656">
        <w:rPr>
          <w:b/>
        </w:rPr>
        <w:t xml:space="preserve">Supplemental Financial Activity Reporting. </w:t>
      </w:r>
      <w:r w:rsidRPr="007F4656">
        <w:t xml:space="preserve">Additional financial information including an overview of core operating activities and other key financial highlights. </w:t>
      </w:r>
    </w:p>
    <w:p w14:paraId="5F1C8AFF" w14:textId="77777777" w:rsidR="00AB24FE" w:rsidRDefault="00D518E8">
      <w:r w:rsidRPr="003A72B3">
        <w:rPr>
          <w:i/>
          <w:color w:val="727272" w:themeColor="background2" w:themeShade="80"/>
        </w:rPr>
        <w:t>View the current version of</w:t>
      </w:r>
      <w:r w:rsidRPr="003A72B3">
        <w:rPr>
          <w:b/>
          <w:i/>
          <w:color w:val="727272" w:themeColor="background2" w:themeShade="80"/>
        </w:rPr>
        <w:t xml:space="preserve"> </w:t>
      </w:r>
      <w:hyperlink r:id="rId43" w:history="1">
        <w:r w:rsidR="003856EE" w:rsidRPr="007F4656">
          <w:rPr>
            <w:rStyle w:val="Hyperlink"/>
            <w:b/>
          </w:rPr>
          <w:t>UB's Financial Reporting</w:t>
        </w:r>
      </w:hyperlink>
    </w:p>
    <w:sectPr w:rsidR="00AB24FE" w:rsidSect="00E57C53">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7EF1" w14:textId="77777777" w:rsidR="00FF14EC" w:rsidRDefault="00FF14EC">
      <w:pPr>
        <w:spacing w:before="0" w:after="0" w:line="240" w:lineRule="auto"/>
      </w:pPr>
      <w:r>
        <w:separator/>
      </w:r>
    </w:p>
  </w:endnote>
  <w:endnote w:type="continuationSeparator" w:id="0">
    <w:p w14:paraId="5ED6F258" w14:textId="77777777" w:rsidR="00FF14EC" w:rsidRDefault="00FF14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fia Pro Black">
    <w:altName w:val="Arial"/>
    <w:panose1 w:val="020B0000000000000000"/>
    <w:charset w:val="00"/>
    <w:family w:val="swiss"/>
    <w:notTrueType/>
    <w:pitch w:val="variable"/>
    <w:sig w:usb0="A000002F" w:usb1="5000004B"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983F" w14:textId="77777777" w:rsidR="0082528B" w:rsidRDefault="00825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053536"/>
      <w:docPartObj>
        <w:docPartGallery w:val="Page Numbers (Bottom of Page)"/>
        <w:docPartUnique/>
      </w:docPartObj>
    </w:sdtPr>
    <w:sdtEndPr>
      <w:rPr>
        <w:noProof/>
      </w:rPr>
    </w:sdtEndPr>
    <w:sdtContent>
      <w:p w14:paraId="65166EDD" w14:textId="77777777" w:rsidR="00D0078C" w:rsidRPr="00057B2F" w:rsidRDefault="00D518E8" w:rsidP="00FF345B">
        <w:pPr>
          <w:pStyle w:val="Footer"/>
        </w:pPr>
        <w:r w:rsidRPr="00E01CC1">
          <w:t xml:space="preserve">UB Annual Operating Budget Report </w:t>
        </w:r>
        <w:sdt>
          <w:sdtPr>
            <w:alias w:val="CurrentYear XXXX/XX"/>
            <w:tag w:val="&lt;ReportPackage&gt;&lt;Variable id=&quot;cf41f8de-15d3-4fdf-993b-adb992bbaf9e&quot; usageType=&quot;Value&quot;/&gt;&lt;/ReportPackage&gt;"/>
            <w:id w:val="659662697"/>
            <w:placeholder>
              <w:docPart w:val="DefaultPlaceholder_-1854013440"/>
            </w:placeholder>
            <w:text/>
          </w:sdtPr>
          <w:sdtEndPr/>
          <w:sdtContent>
            <w:r w:rsidR="0082528B">
              <w:t>2026/27</w:t>
            </w:r>
          </w:sdtContent>
        </w:sdt>
        <w:r w:rsidRPr="00E01CC1">
          <w:tab/>
        </w:r>
        <w:r w:rsidRPr="00E01CC1">
          <w:fldChar w:fldCharType="begin"/>
        </w:r>
        <w:r w:rsidRPr="00E01CC1">
          <w:instrText xml:space="preserve"> PAGE   \* MERGEFORMAT </w:instrText>
        </w:r>
        <w:r w:rsidRPr="00E01CC1">
          <w:fldChar w:fldCharType="separate"/>
        </w:r>
        <w:r w:rsidR="007D5380">
          <w:rPr>
            <w:noProof/>
          </w:rPr>
          <w:t>35</w:t>
        </w:r>
        <w:r w:rsidRPr="00E01CC1">
          <w:rPr>
            <w:noProof/>
          </w:rPr>
          <w:fldChar w:fldCharType="end"/>
        </w:r>
      </w:p>
    </w:sdtContent>
  </w:sdt>
  <w:p w14:paraId="28A7EDFA" w14:textId="77777777" w:rsidR="00D0078C" w:rsidRDefault="00D0078C" w:rsidP="00FF3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E816" w14:textId="77777777" w:rsidR="0082528B" w:rsidRDefault="00825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1C869" w14:textId="77777777" w:rsidR="00FF14EC" w:rsidRDefault="00FF14EC">
      <w:pPr>
        <w:spacing w:before="0" w:after="0" w:line="240" w:lineRule="auto"/>
      </w:pPr>
      <w:r>
        <w:separator/>
      </w:r>
    </w:p>
  </w:footnote>
  <w:footnote w:type="continuationSeparator" w:id="0">
    <w:p w14:paraId="0CB4A141" w14:textId="77777777" w:rsidR="00FF14EC" w:rsidRDefault="00FF14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41A7" w14:textId="77777777" w:rsidR="0082528B" w:rsidRDefault="00825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A329" w14:textId="77777777" w:rsidR="0082528B" w:rsidRDefault="008252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5038" w14:textId="77777777" w:rsidR="0082528B" w:rsidRDefault="008252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BD02B06"/>
    <w:lvl w:ilvl="0">
      <w:start w:val="1"/>
      <w:numFmt w:val="decimal"/>
      <w:pStyle w:val="ListNumber2"/>
      <w:lvlText w:val="%1."/>
      <w:lvlJc w:val="left"/>
      <w:pPr>
        <w:tabs>
          <w:tab w:val="num" w:pos="720"/>
        </w:tabs>
        <w:ind w:left="720" w:hanging="360"/>
      </w:pPr>
    </w:lvl>
  </w:abstractNum>
  <w:abstractNum w:abstractNumId="1" w15:restartNumberingAfterBreak="0">
    <w:nsid w:val="08FD7DE0"/>
    <w:multiLevelType w:val="hybridMultilevel"/>
    <w:tmpl w:val="F7260A2E"/>
    <w:lvl w:ilvl="0" w:tplc="066E0358">
      <w:start w:val="1"/>
      <w:numFmt w:val="decimal"/>
      <w:pStyle w:val="Level2"/>
      <w:lvlText w:val="%1."/>
      <w:lvlJc w:val="left"/>
      <w:pPr>
        <w:ind w:left="360" w:hanging="360"/>
      </w:pPr>
      <w:rPr>
        <w:rFonts w:hint="default"/>
      </w:rPr>
    </w:lvl>
    <w:lvl w:ilvl="1" w:tplc="A6C6960C">
      <w:start w:val="1"/>
      <w:numFmt w:val="lowerLetter"/>
      <w:lvlText w:val="%2."/>
      <w:lvlJc w:val="left"/>
      <w:pPr>
        <w:ind w:left="1440" w:hanging="360"/>
      </w:pPr>
    </w:lvl>
    <w:lvl w:ilvl="2" w:tplc="C70487CC" w:tentative="1">
      <w:start w:val="1"/>
      <w:numFmt w:val="lowerRoman"/>
      <w:lvlText w:val="%3."/>
      <w:lvlJc w:val="right"/>
      <w:pPr>
        <w:ind w:left="2160" w:hanging="180"/>
      </w:pPr>
    </w:lvl>
    <w:lvl w:ilvl="3" w:tplc="2EA039C2" w:tentative="1">
      <w:start w:val="1"/>
      <w:numFmt w:val="decimal"/>
      <w:lvlText w:val="%4."/>
      <w:lvlJc w:val="left"/>
      <w:pPr>
        <w:ind w:left="2880" w:hanging="360"/>
      </w:pPr>
    </w:lvl>
    <w:lvl w:ilvl="4" w:tplc="52ECBBE2" w:tentative="1">
      <w:start w:val="1"/>
      <w:numFmt w:val="lowerLetter"/>
      <w:lvlText w:val="%5."/>
      <w:lvlJc w:val="left"/>
      <w:pPr>
        <w:ind w:left="3600" w:hanging="360"/>
      </w:pPr>
    </w:lvl>
    <w:lvl w:ilvl="5" w:tplc="877C0E30" w:tentative="1">
      <w:start w:val="1"/>
      <w:numFmt w:val="lowerRoman"/>
      <w:lvlText w:val="%6."/>
      <w:lvlJc w:val="right"/>
      <w:pPr>
        <w:ind w:left="4320" w:hanging="180"/>
      </w:pPr>
    </w:lvl>
    <w:lvl w:ilvl="6" w:tplc="A7B0B236" w:tentative="1">
      <w:start w:val="1"/>
      <w:numFmt w:val="decimal"/>
      <w:lvlText w:val="%7."/>
      <w:lvlJc w:val="left"/>
      <w:pPr>
        <w:ind w:left="5040" w:hanging="360"/>
      </w:pPr>
    </w:lvl>
    <w:lvl w:ilvl="7" w:tplc="36CC9074" w:tentative="1">
      <w:start w:val="1"/>
      <w:numFmt w:val="lowerLetter"/>
      <w:lvlText w:val="%8."/>
      <w:lvlJc w:val="left"/>
      <w:pPr>
        <w:ind w:left="5760" w:hanging="360"/>
      </w:pPr>
    </w:lvl>
    <w:lvl w:ilvl="8" w:tplc="46523412" w:tentative="1">
      <w:start w:val="1"/>
      <w:numFmt w:val="lowerRoman"/>
      <w:lvlText w:val="%9."/>
      <w:lvlJc w:val="right"/>
      <w:pPr>
        <w:ind w:left="6480" w:hanging="180"/>
      </w:pPr>
    </w:lvl>
  </w:abstractNum>
  <w:abstractNum w:abstractNumId="2" w15:restartNumberingAfterBreak="0">
    <w:nsid w:val="0CC87924"/>
    <w:multiLevelType w:val="hybridMultilevel"/>
    <w:tmpl w:val="05329006"/>
    <w:lvl w:ilvl="0" w:tplc="A9D03DD8">
      <w:start w:val="1"/>
      <w:numFmt w:val="lowerLetter"/>
      <w:lvlText w:val="%1)"/>
      <w:lvlJc w:val="left"/>
      <w:pPr>
        <w:ind w:left="1440" w:hanging="360"/>
      </w:pPr>
    </w:lvl>
    <w:lvl w:ilvl="1" w:tplc="D7042C4A" w:tentative="1">
      <w:start w:val="1"/>
      <w:numFmt w:val="lowerLetter"/>
      <w:lvlText w:val="%2."/>
      <w:lvlJc w:val="left"/>
      <w:pPr>
        <w:ind w:left="2160" w:hanging="360"/>
      </w:pPr>
    </w:lvl>
    <w:lvl w:ilvl="2" w:tplc="74820DB2" w:tentative="1">
      <w:start w:val="1"/>
      <w:numFmt w:val="lowerRoman"/>
      <w:lvlText w:val="%3."/>
      <w:lvlJc w:val="right"/>
      <w:pPr>
        <w:ind w:left="2880" w:hanging="180"/>
      </w:pPr>
    </w:lvl>
    <w:lvl w:ilvl="3" w:tplc="B4B05008" w:tentative="1">
      <w:start w:val="1"/>
      <w:numFmt w:val="decimal"/>
      <w:lvlText w:val="%4."/>
      <w:lvlJc w:val="left"/>
      <w:pPr>
        <w:ind w:left="3600" w:hanging="360"/>
      </w:pPr>
    </w:lvl>
    <w:lvl w:ilvl="4" w:tplc="C5F8759C" w:tentative="1">
      <w:start w:val="1"/>
      <w:numFmt w:val="lowerLetter"/>
      <w:lvlText w:val="%5."/>
      <w:lvlJc w:val="left"/>
      <w:pPr>
        <w:ind w:left="4320" w:hanging="360"/>
      </w:pPr>
    </w:lvl>
    <w:lvl w:ilvl="5" w:tplc="594E7E1A" w:tentative="1">
      <w:start w:val="1"/>
      <w:numFmt w:val="lowerRoman"/>
      <w:lvlText w:val="%6."/>
      <w:lvlJc w:val="right"/>
      <w:pPr>
        <w:ind w:left="5040" w:hanging="180"/>
      </w:pPr>
    </w:lvl>
    <w:lvl w:ilvl="6" w:tplc="3EB64CF0" w:tentative="1">
      <w:start w:val="1"/>
      <w:numFmt w:val="decimal"/>
      <w:lvlText w:val="%7."/>
      <w:lvlJc w:val="left"/>
      <w:pPr>
        <w:ind w:left="5760" w:hanging="360"/>
      </w:pPr>
    </w:lvl>
    <w:lvl w:ilvl="7" w:tplc="113C969C" w:tentative="1">
      <w:start w:val="1"/>
      <w:numFmt w:val="lowerLetter"/>
      <w:lvlText w:val="%8."/>
      <w:lvlJc w:val="left"/>
      <w:pPr>
        <w:ind w:left="6480" w:hanging="360"/>
      </w:pPr>
    </w:lvl>
    <w:lvl w:ilvl="8" w:tplc="5EB4840C" w:tentative="1">
      <w:start w:val="1"/>
      <w:numFmt w:val="lowerRoman"/>
      <w:lvlText w:val="%9."/>
      <w:lvlJc w:val="right"/>
      <w:pPr>
        <w:ind w:left="7200" w:hanging="180"/>
      </w:pPr>
    </w:lvl>
  </w:abstractNum>
  <w:abstractNum w:abstractNumId="3" w15:restartNumberingAfterBreak="0">
    <w:nsid w:val="11A05426"/>
    <w:multiLevelType w:val="hybridMultilevel"/>
    <w:tmpl w:val="ECDA063E"/>
    <w:lvl w:ilvl="0" w:tplc="D2860D56">
      <w:start w:val="1"/>
      <w:numFmt w:val="bullet"/>
      <w:lvlText w:val=""/>
      <w:lvlJc w:val="left"/>
      <w:pPr>
        <w:ind w:left="1080" w:hanging="360"/>
      </w:pPr>
      <w:rPr>
        <w:rFonts w:ascii="Symbol" w:hAnsi="Symbol" w:hint="default"/>
      </w:rPr>
    </w:lvl>
    <w:lvl w:ilvl="1" w:tplc="E27ADEB4" w:tentative="1">
      <w:start w:val="1"/>
      <w:numFmt w:val="bullet"/>
      <w:lvlText w:val="o"/>
      <w:lvlJc w:val="left"/>
      <w:pPr>
        <w:ind w:left="1800" w:hanging="360"/>
      </w:pPr>
      <w:rPr>
        <w:rFonts w:ascii="Courier New" w:hAnsi="Courier New" w:cs="Courier New" w:hint="default"/>
      </w:rPr>
    </w:lvl>
    <w:lvl w:ilvl="2" w:tplc="20667566" w:tentative="1">
      <w:start w:val="1"/>
      <w:numFmt w:val="bullet"/>
      <w:lvlText w:val=""/>
      <w:lvlJc w:val="left"/>
      <w:pPr>
        <w:ind w:left="2520" w:hanging="360"/>
      </w:pPr>
      <w:rPr>
        <w:rFonts w:ascii="Wingdings" w:hAnsi="Wingdings" w:hint="default"/>
      </w:rPr>
    </w:lvl>
    <w:lvl w:ilvl="3" w:tplc="2CA64068" w:tentative="1">
      <w:start w:val="1"/>
      <w:numFmt w:val="bullet"/>
      <w:lvlText w:val=""/>
      <w:lvlJc w:val="left"/>
      <w:pPr>
        <w:ind w:left="3240" w:hanging="360"/>
      </w:pPr>
      <w:rPr>
        <w:rFonts w:ascii="Symbol" w:hAnsi="Symbol" w:hint="default"/>
      </w:rPr>
    </w:lvl>
    <w:lvl w:ilvl="4" w:tplc="51AC86EC" w:tentative="1">
      <w:start w:val="1"/>
      <w:numFmt w:val="bullet"/>
      <w:lvlText w:val="o"/>
      <w:lvlJc w:val="left"/>
      <w:pPr>
        <w:ind w:left="3960" w:hanging="360"/>
      </w:pPr>
      <w:rPr>
        <w:rFonts w:ascii="Courier New" w:hAnsi="Courier New" w:cs="Courier New" w:hint="default"/>
      </w:rPr>
    </w:lvl>
    <w:lvl w:ilvl="5" w:tplc="A2A05C8C" w:tentative="1">
      <w:start w:val="1"/>
      <w:numFmt w:val="bullet"/>
      <w:lvlText w:val=""/>
      <w:lvlJc w:val="left"/>
      <w:pPr>
        <w:ind w:left="4680" w:hanging="360"/>
      </w:pPr>
      <w:rPr>
        <w:rFonts w:ascii="Wingdings" w:hAnsi="Wingdings" w:hint="default"/>
      </w:rPr>
    </w:lvl>
    <w:lvl w:ilvl="6" w:tplc="D8CC8968" w:tentative="1">
      <w:start w:val="1"/>
      <w:numFmt w:val="bullet"/>
      <w:lvlText w:val=""/>
      <w:lvlJc w:val="left"/>
      <w:pPr>
        <w:ind w:left="5400" w:hanging="360"/>
      </w:pPr>
      <w:rPr>
        <w:rFonts w:ascii="Symbol" w:hAnsi="Symbol" w:hint="default"/>
      </w:rPr>
    </w:lvl>
    <w:lvl w:ilvl="7" w:tplc="C60E7BDA" w:tentative="1">
      <w:start w:val="1"/>
      <w:numFmt w:val="bullet"/>
      <w:lvlText w:val="o"/>
      <w:lvlJc w:val="left"/>
      <w:pPr>
        <w:ind w:left="6120" w:hanging="360"/>
      </w:pPr>
      <w:rPr>
        <w:rFonts w:ascii="Courier New" w:hAnsi="Courier New" w:cs="Courier New" w:hint="default"/>
      </w:rPr>
    </w:lvl>
    <w:lvl w:ilvl="8" w:tplc="CFE4FB66" w:tentative="1">
      <w:start w:val="1"/>
      <w:numFmt w:val="bullet"/>
      <w:lvlText w:val=""/>
      <w:lvlJc w:val="left"/>
      <w:pPr>
        <w:ind w:left="6840" w:hanging="360"/>
      </w:pPr>
      <w:rPr>
        <w:rFonts w:ascii="Wingdings" w:hAnsi="Wingdings" w:hint="default"/>
      </w:rPr>
    </w:lvl>
  </w:abstractNum>
  <w:abstractNum w:abstractNumId="4" w15:restartNumberingAfterBreak="0">
    <w:nsid w:val="12D81442"/>
    <w:multiLevelType w:val="hybridMultilevel"/>
    <w:tmpl w:val="A6686FA8"/>
    <w:lvl w:ilvl="0" w:tplc="CE10CC9A">
      <w:start w:val="3"/>
      <w:numFmt w:val="decimal"/>
      <w:lvlText w:val="%1."/>
      <w:lvlJc w:val="left"/>
      <w:pPr>
        <w:ind w:left="720" w:hanging="360"/>
      </w:pPr>
      <w:rPr>
        <w:rFonts w:hint="default"/>
      </w:rPr>
    </w:lvl>
    <w:lvl w:ilvl="1" w:tplc="B2C0E1F8" w:tentative="1">
      <w:start w:val="1"/>
      <w:numFmt w:val="lowerLetter"/>
      <w:lvlText w:val="%2."/>
      <w:lvlJc w:val="left"/>
      <w:pPr>
        <w:ind w:left="1440" w:hanging="360"/>
      </w:pPr>
    </w:lvl>
    <w:lvl w:ilvl="2" w:tplc="81F4E20C" w:tentative="1">
      <w:start w:val="1"/>
      <w:numFmt w:val="lowerRoman"/>
      <w:lvlText w:val="%3."/>
      <w:lvlJc w:val="right"/>
      <w:pPr>
        <w:ind w:left="2160" w:hanging="180"/>
      </w:pPr>
    </w:lvl>
    <w:lvl w:ilvl="3" w:tplc="9CF8784E" w:tentative="1">
      <w:start w:val="1"/>
      <w:numFmt w:val="decimal"/>
      <w:lvlText w:val="%4."/>
      <w:lvlJc w:val="left"/>
      <w:pPr>
        <w:ind w:left="2880" w:hanging="360"/>
      </w:pPr>
    </w:lvl>
    <w:lvl w:ilvl="4" w:tplc="EA8E0E2E" w:tentative="1">
      <w:start w:val="1"/>
      <w:numFmt w:val="lowerLetter"/>
      <w:lvlText w:val="%5."/>
      <w:lvlJc w:val="left"/>
      <w:pPr>
        <w:ind w:left="3600" w:hanging="360"/>
      </w:pPr>
    </w:lvl>
    <w:lvl w:ilvl="5" w:tplc="7C3C9EDC" w:tentative="1">
      <w:start w:val="1"/>
      <w:numFmt w:val="lowerRoman"/>
      <w:lvlText w:val="%6."/>
      <w:lvlJc w:val="right"/>
      <w:pPr>
        <w:ind w:left="4320" w:hanging="180"/>
      </w:pPr>
    </w:lvl>
    <w:lvl w:ilvl="6" w:tplc="DE4473F4" w:tentative="1">
      <w:start w:val="1"/>
      <w:numFmt w:val="decimal"/>
      <w:lvlText w:val="%7."/>
      <w:lvlJc w:val="left"/>
      <w:pPr>
        <w:ind w:left="5040" w:hanging="360"/>
      </w:pPr>
    </w:lvl>
    <w:lvl w:ilvl="7" w:tplc="E6A6EB26" w:tentative="1">
      <w:start w:val="1"/>
      <w:numFmt w:val="lowerLetter"/>
      <w:lvlText w:val="%8."/>
      <w:lvlJc w:val="left"/>
      <w:pPr>
        <w:ind w:left="5760" w:hanging="360"/>
      </w:pPr>
    </w:lvl>
    <w:lvl w:ilvl="8" w:tplc="C8EA362A" w:tentative="1">
      <w:start w:val="1"/>
      <w:numFmt w:val="lowerRoman"/>
      <w:lvlText w:val="%9."/>
      <w:lvlJc w:val="right"/>
      <w:pPr>
        <w:ind w:left="6480" w:hanging="180"/>
      </w:pPr>
    </w:lvl>
  </w:abstractNum>
  <w:abstractNum w:abstractNumId="5" w15:restartNumberingAfterBreak="0">
    <w:nsid w:val="13887432"/>
    <w:multiLevelType w:val="hybridMultilevel"/>
    <w:tmpl w:val="C4F478E8"/>
    <w:lvl w:ilvl="0" w:tplc="894CBBBA">
      <w:start w:val="1"/>
      <w:numFmt w:val="bullet"/>
      <w:lvlText w:val=""/>
      <w:lvlJc w:val="left"/>
      <w:pPr>
        <w:ind w:left="1080" w:hanging="360"/>
      </w:pPr>
      <w:rPr>
        <w:rFonts w:ascii="Symbol" w:hAnsi="Symbol" w:hint="default"/>
      </w:rPr>
    </w:lvl>
    <w:lvl w:ilvl="1" w:tplc="6278F614" w:tentative="1">
      <w:start w:val="1"/>
      <w:numFmt w:val="bullet"/>
      <w:lvlText w:val="o"/>
      <w:lvlJc w:val="left"/>
      <w:pPr>
        <w:ind w:left="1800" w:hanging="360"/>
      </w:pPr>
      <w:rPr>
        <w:rFonts w:ascii="Courier New" w:hAnsi="Courier New" w:cs="Courier New" w:hint="default"/>
      </w:rPr>
    </w:lvl>
    <w:lvl w:ilvl="2" w:tplc="1870E468" w:tentative="1">
      <w:start w:val="1"/>
      <w:numFmt w:val="bullet"/>
      <w:lvlText w:val=""/>
      <w:lvlJc w:val="left"/>
      <w:pPr>
        <w:ind w:left="2520" w:hanging="360"/>
      </w:pPr>
      <w:rPr>
        <w:rFonts w:ascii="Wingdings" w:hAnsi="Wingdings" w:hint="default"/>
      </w:rPr>
    </w:lvl>
    <w:lvl w:ilvl="3" w:tplc="2C947B92" w:tentative="1">
      <w:start w:val="1"/>
      <w:numFmt w:val="bullet"/>
      <w:lvlText w:val=""/>
      <w:lvlJc w:val="left"/>
      <w:pPr>
        <w:ind w:left="3240" w:hanging="360"/>
      </w:pPr>
      <w:rPr>
        <w:rFonts w:ascii="Symbol" w:hAnsi="Symbol" w:hint="default"/>
      </w:rPr>
    </w:lvl>
    <w:lvl w:ilvl="4" w:tplc="1F8EF812" w:tentative="1">
      <w:start w:val="1"/>
      <w:numFmt w:val="bullet"/>
      <w:lvlText w:val="o"/>
      <w:lvlJc w:val="left"/>
      <w:pPr>
        <w:ind w:left="3960" w:hanging="360"/>
      </w:pPr>
      <w:rPr>
        <w:rFonts w:ascii="Courier New" w:hAnsi="Courier New" w:cs="Courier New" w:hint="default"/>
      </w:rPr>
    </w:lvl>
    <w:lvl w:ilvl="5" w:tplc="71D68D46" w:tentative="1">
      <w:start w:val="1"/>
      <w:numFmt w:val="bullet"/>
      <w:lvlText w:val=""/>
      <w:lvlJc w:val="left"/>
      <w:pPr>
        <w:ind w:left="4680" w:hanging="360"/>
      </w:pPr>
      <w:rPr>
        <w:rFonts w:ascii="Wingdings" w:hAnsi="Wingdings" w:hint="default"/>
      </w:rPr>
    </w:lvl>
    <w:lvl w:ilvl="6" w:tplc="4E22CEE0" w:tentative="1">
      <w:start w:val="1"/>
      <w:numFmt w:val="bullet"/>
      <w:lvlText w:val=""/>
      <w:lvlJc w:val="left"/>
      <w:pPr>
        <w:ind w:left="5400" w:hanging="360"/>
      </w:pPr>
      <w:rPr>
        <w:rFonts w:ascii="Symbol" w:hAnsi="Symbol" w:hint="default"/>
      </w:rPr>
    </w:lvl>
    <w:lvl w:ilvl="7" w:tplc="0AB8A48A" w:tentative="1">
      <w:start w:val="1"/>
      <w:numFmt w:val="bullet"/>
      <w:lvlText w:val="o"/>
      <w:lvlJc w:val="left"/>
      <w:pPr>
        <w:ind w:left="6120" w:hanging="360"/>
      </w:pPr>
      <w:rPr>
        <w:rFonts w:ascii="Courier New" w:hAnsi="Courier New" w:cs="Courier New" w:hint="default"/>
      </w:rPr>
    </w:lvl>
    <w:lvl w:ilvl="8" w:tplc="CC9873A8" w:tentative="1">
      <w:start w:val="1"/>
      <w:numFmt w:val="bullet"/>
      <w:lvlText w:val=""/>
      <w:lvlJc w:val="left"/>
      <w:pPr>
        <w:ind w:left="6840" w:hanging="360"/>
      </w:pPr>
      <w:rPr>
        <w:rFonts w:ascii="Wingdings" w:hAnsi="Wingdings" w:hint="default"/>
      </w:rPr>
    </w:lvl>
  </w:abstractNum>
  <w:abstractNum w:abstractNumId="6" w15:restartNumberingAfterBreak="0">
    <w:nsid w:val="19191260"/>
    <w:multiLevelType w:val="hybridMultilevel"/>
    <w:tmpl w:val="0DE6AFD0"/>
    <w:lvl w:ilvl="0" w:tplc="83A25DF6">
      <w:start w:val="6"/>
      <w:numFmt w:val="decimal"/>
      <w:lvlText w:val="%1."/>
      <w:lvlJc w:val="left"/>
      <w:pPr>
        <w:ind w:left="720" w:hanging="360"/>
      </w:pPr>
      <w:rPr>
        <w:rFonts w:hint="default"/>
      </w:rPr>
    </w:lvl>
    <w:lvl w:ilvl="1" w:tplc="0F1E578C" w:tentative="1">
      <w:start w:val="1"/>
      <w:numFmt w:val="lowerLetter"/>
      <w:lvlText w:val="%2."/>
      <w:lvlJc w:val="left"/>
      <w:pPr>
        <w:ind w:left="1440" w:hanging="360"/>
      </w:pPr>
    </w:lvl>
    <w:lvl w:ilvl="2" w:tplc="1BCA7D14" w:tentative="1">
      <w:start w:val="1"/>
      <w:numFmt w:val="lowerRoman"/>
      <w:lvlText w:val="%3."/>
      <w:lvlJc w:val="right"/>
      <w:pPr>
        <w:ind w:left="2160" w:hanging="180"/>
      </w:pPr>
    </w:lvl>
    <w:lvl w:ilvl="3" w:tplc="F5042652" w:tentative="1">
      <w:start w:val="1"/>
      <w:numFmt w:val="decimal"/>
      <w:lvlText w:val="%4."/>
      <w:lvlJc w:val="left"/>
      <w:pPr>
        <w:ind w:left="2880" w:hanging="360"/>
      </w:pPr>
    </w:lvl>
    <w:lvl w:ilvl="4" w:tplc="647A15D0" w:tentative="1">
      <w:start w:val="1"/>
      <w:numFmt w:val="lowerLetter"/>
      <w:lvlText w:val="%5."/>
      <w:lvlJc w:val="left"/>
      <w:pPr>
        <w:ind w:left="3600" w:hanging="360"/>
      </w:pPr>
    </w:lvl>
    <w:lvl w:ilvl="5" w:tplc="28989494" w:tentative="1">
      <w:start w:val="1"/>
      <w:numFmt w:val="lowerRoman"/>
      <w:lvlText w:val="%6."/>
      <w:lvlJc w:val="right"/>
      <w:pPr>
        <w:ind w:left="4320" w:hanging="180"/>
      </w:pPr>
    </w:lvl>
    <w:lvl w:ilvl="6" w:tplc="9FB8BF8E" w:tentative="1">
      <w:start w:val="1"/>
      <w:numFmt w:val="decimal"/>
      <w:lvlText w:val="%7."/>
      <w:lvlJc w:val="left"/>
      <w:pPr>
        <w:ind w:left="5040" w:hanging="360"/>
      </w:pPr>
    </w:lvl>
    <w:lvl w:ilvl="7" w:tplc="63B0E2A2" w:tentative="1">
      <w:start w:val="1"/>
      <w:numFmt w:val="lowerLetter"/>
      <w:lvlText w:val="%8."/>
      <w:lvlJc w:val="left"/>
      <w:pPr>
        <w:ind w:left="5760" w:hanging="360"/>
      </w:pPr>
    </w:lvl>
    <w:lvl w:ilvl="8" w:tplc="1934539A" w:tentative="1">
      <w:start w:val="1"/>
      <w:numFmt w:val="lowerRoman"/>
      <w:lvlText w:val="%9."/>
      <w:lvlJc w:val="right"/>
      <w:pPr>
        <w:ind w:left="6480" w:hanging="180"/>
      </w:pPr>
    </w:lvl>
  </w:abstractNum>
  <w:abstractNum w:abstractNumId="7" w15:restartNumberingAfterBreak="0">
    <w:nsid w:val="1DF17059"/>
    <w:multiLevelType w:val="hybridMultilevel"/>
    <w:tmpl w:val="9FAADE00"/>
    <w:lvl w:ilvl="0" w:tplc="0C8A5C06">
      <w:start w:val="1"/>
      <w:numFmt w:val="bullet"/>
      <w:pStyle w:val="bulletub2"/>
      <w:lvlText w:val="o"/>
      <w:lvlJc w:val="left"/>
      <w:pPr>
        <w:ind w:left="1080" w:hanging="360"/>
      </w:pPr>
      <w:rPr>
        <w:rFonts w:ascii="Courier New" w:hAnsi="Courier New" w:cs="Courier New" w:hint="default"/>
      </w:rPr>
    </w:lvl>
    <w:lvl w:ilvl="1" w:tplc="EA30D678">
      <w:start w:val="1"/>
      <w:numFmt w:val="bullet"/>
      <w:lvlText w:val="o"/>
      <w:lvlJc w:val="left"/>
      <w:pPr>
        <w:ind w:left="1800" w:hanging="360"/>
      </w:pPr>
      <w:rPr>
        <w:rFonts w:ascii="Courier New" w:hAnsi="Courier New" w:cs="Courier New" w:hint="default"/>
      </w:rPr>
    </w:lvl>
    <w:lvl w:ilvl="2" w:tplc="61EE4CD0" w:tentative="1">
      <w:start w:val="1"/>
      <w:numFmt w:val="bullet"/>
      <w:lvlText w:val=""/>
      <w:lvlJc w:val="left"/>
      <w:pPr>
        <w:ind w:left="2520" w:hanging="360"/>
      </w:pPr>
      <w:rPr>
        <w:rFonts w:ascii="Wingdings" w:hAnsi="Wingdings" w:hint="default"/>
      </w:rPr>
    </w:lvl>
    <w:lvl w:ilvl="3" w:tplc="4DF631D0" w:tentative="1">
      <w:start w:val="1"/>
      <w:numFmt w:val="bullet"/>
      <w:lvlText w:val=""/>
      <w:lvlJc w:val="left"/>
      <w:pPr>
        <w:ind w:left="3240" w:hanging="360"/>
      </w:pPr>
      <w:rPr>
        <w:rFonts w:ascii="Symbol" w:hAnsi="Symbol" w:hint="default"/>
      </w:rPr>
    </w:lvl>
    <w:lvl w:ilvl="4" w:tplc="846C8D32" w:tentative="1">
      <w:start w:val="1"/>
      <w:numFmt w:val="bullet"/>
      <w:lvlText w:val="o"/>
      <w:lvlJc w:val="left"/>
      <w:pPr>
        <w:ind w:left="3960" w:hanging="360"/>
      </w:pPr>
      <w:rPr>
        <w:rFonts w:ascii="Courier New" w:hAnsi="Courier New" w:cs="Courier New" w:hint="default"/>
      </w:rPr>
    </w:lvl>
    <w:lvl w:ilvl="5" w:tplc="3F6690D2" w:tentative="1">
      <w:start w:val="1"/>
      <w:numFmt w:val="bullet"/>
      <w:lvlText w:val=""/>
      <w:lvlJc w:val="left"/>
      <w:pPr>
        <w:ind w:left="4680" w:hanging="360"/>
      </w:pPr>
      <w:rPr>
        <w:rFonts w:ascii="Wingdings" w:hAnsi="Wingdings" w:hint="default"/>
      </w:rPr>
    </w:lvl>
    <w:lvl w:ilvl="6" w:tplc="3BB61A46" w:tentative="1">
      <w:start w:val="1"/>
      <w:numFmt w:val="bullet"/>
      <w:lvlText w:val=""/>
      <w:lvlJc w:val="left"/>
      <w:pPr>
        <w:ind w:left="5400" w:hanging="360"/>
      </w:pPr>
      <w:rPr>
        <w:rFonts w:ascii="Symbol" w:hAnsi="Symbol" w:hint="default"/>
      </w:rPr>
    </w:lvl>
    <w:lvl w:ilvl="7" w:tplc="52F4B10E" w:tentative="1">
      <w:start w:val="1"/>
      <w:numFmt w:val="bullet"/>
      <w:lvlText w:val="o"/>
      <w:lvlJc w:val="left"/>
      <w:pPr>
        <w:ind w:left="6120" w:hanging="360"/>
      </w:pPr>
      <w:rPr>
        <w:rFonts w:ascii="Courier New" w:hAnsi="Courier New" w:cs="Courier New" w:hint="default"/>
      </w:rPr>
    </w:lvl>
    <w:lvl w:ilvl="8" w:tplc="EE9689C0" w:tentative="1">
      <w:start w:val="1"/>
      <w:numFmt w:val="bullet"/>
      <w:lvlText w:val=""/>
      <w:lvlJc w:val="left"/>
      <w:pPr>
        <w:ind w:left="6840" w:hanging="360"/>
      </w:pPr>
      <w:rPr>
        <w:rFonts w:ascii="Wingdings" w:hAnsi="Wingdings" w:hint="default"/>
      </w:rPr>
    </w:lvl>
  </w:abstractNum>
  <w:abstractNum w:abstractNumId="8" w15:restartNumberingAfterBreak="0">
    <w:nsid w:val="24CD0CA9"/>
    <w:multiLevelType w:val="hybridMultilevel"/>
    <w:tmpl w:val="A9440980"/>
    <w:lvl w:ilvl="0" w:tplc="DFBCBC38">
      <w:start w:val="1"/>
      <w:numFmt w:val="decimal"/>
      <w:lvlText w:val="%1."/>
      <w:lvlJc w:val="left"/>
      <w:pPr>
        <w:ind w:left="360" w:hanging="360"/>
      </w:pPr>
      <w:rPr>
        <w:rFonts w:hint="default"/>
      </w:rPr>
    </w:lvl>
    <w:lvl w:ilvl="1" w:tplc="48AA27DE" w:tentative="1">
      <w:start w:val="1"/>
      <w:numFmt w:val="lowerLetter"/>
      <w:lvlText w:val="%2."/>
      <w:lvlJc w:val="left"/>
      <w:pPr>
        <w:ind w:left="1440" w:hanging="360"/>
      </w:pPr>
    </w:lvl>
    <w:lvl w:ilvl="2" w:tplc="FA1E1A70" w:tentative="1">
      <w:start w:val="1"/>
      <w:numFmt w:val="lowerRoman"/>
      <w:lvlText w:val="%3."/>
      <w:lvlJc w:val="right"/>
      <w:pPr>
        <w:ind w:left="2160" w:hanging="180"/>
      </w:pPr>
    </w:lvl>
    <w:lvl w:ilvl="3" w:tplc="98E4C71E" w:tentative="1">
      <w:start w:val="1"/>
      <w:numFmt w:val="decimal"/>
      <w:lvlText w:val="%4."/>
      <w:lvlJc w:val="left"/>
      <w:pPr>
        <w:ind w:left="2880" w:hanging="360"/>
      </w:pPr>
    </w:lvl>
    <w:lvl w:ilvl="4" w:tplc="4FC6B090" w:tentative="1">
      <w:start w:val="1"/>
      <w:numFmt w:val="lowerLetter"/>
      <w:lvlText w:val="%5."/>
      <w:lvlJc w:val="left"/>
      <w:pPr>
        <w:ind w:left="3600" w:hanging="360"/>
      </w:pPr>
    </w:lvl>
    <w:lvl w:ilvl="5" w:tplc="3590498E" w:tentative="1">
      <w:start w:val="1"/>
      <w:numFmt w:val="lowerRoman"/>
      <w:lvlText w:val="%6."/>
      <w:lvlJc w:val="right"/>
      <w:pPr>
        <w:ind w:left="4320" w:hanging="180"/>
      </w:pPr>
    </w:lvl>
    <w:lvl w:ilvl="6" w:tplc="43F453AA" w:tentative="1">
      <w:start w:val="1"/>
      <w:numFmt w:val="decimal"/>
      <w:lvlText w:val="%7."/>
      <w:lvlJc w:val="left"/>
      <w:pPr>
        <w:ind w:left="5040" w:hanging="360"/>
      </w:pPr>
    </w:lvl>
    <w:lvl w:ilvl="7" w:tplc="0B68F02A" w:tentative="1">
      <w:start w:val="1"/>
      <w:numFmt w:val="lowerLetter"/>
      <w:lvlText w:val="%8."/>
      <w:lvlJc w:val="left"/>
      <w:pPr>
        <w:ind w:left="5760" w:hanging="360"/>
      </w:pPr>
    </w:lvl>
    <w:lvl w:ilvl="8" w:tplc="360CDE14" w:tentative="1">
      <w:start w:val="1"/>
      <w:numFmt w:val="lowerRoman"/>
      <w:lvlText w:val="%9."/>
      <w:lvlJc w:val="right"/>
      <w:pPr>
        <w:ind w:left="6480" w:hanging="180"/>
      </w:pPr>
    </w:lvl>
  </w:abstractNum>
  <w:abstractNum w:abstractNumId="9" w15:restartNumberingAfterBreak="0">
    <w:nsid w:val="25D053FE"/>
    <w:multiLevelType w:val="hybridMultilevel"/>
    <w:tmpl w:val="F55A4046"/>
    <w:lvl w:ilvl="0" w:tplc="53123774">
      <w:start w:val="1"/>
      <w:numFmt w:val="bullet"/>
      <w:pStyle w:val="bulletub"/>
      <w:lvlText w:val=""/>
      <w:lvlJc w:val="left"/>
      <w:pPr>
        <w:ind w:left="1080" w:hanging="360"/>
      </w:pPr>
      <w:rPr>
        <w:rFonts w:ascii="Symbol" w:hAnsi="Symbol" w:hint="default"/>
      </w:rPr>
    </w:lvl>
    <w:lvl w:ilvl="1" w:tplc="B9C0A9A0">
      <w:start w:val="1"/>
      <w:numFmt w:val="bullet"/>
      <w:lvlText w:val="o"/>
      <w:lvlJc w:val="left"/>
      <w:pPr>
        <w:ind w:left="1800" w:hanging="360"/>
      </w:pPr>
      <w:rPr>
        <w:rFonts w:ascii="Courier New" w:hAnsi="Courier New" w:cs="Courier New" w:hint="default"/>
      </w:rPr>
    </w:lvl>
    <w:lvl w:ilvl="2" w:tplc="0F34BD6E" w:tentative="1">
      <w:start w:val="1"/>
      <w:numFmt w:val="bullet"/>
      <w:lvlText w:val=""/>
      <w:lvlJc w:val="left"/>
      <w:pPr>
        <w:ind w:left="2520" w:hanging="360"/>
      </w:pPr>
      <w:rPr>
        <w:rFonts w:ascii="Wingdings" w:hAnsi="Wingdings" w:hint="default"/>
      </w:rPr>
    </w:lvl>
    <w:lvl w:ilvl="3" w:tplc="9DE00A50" w:tentative="1">
      <w:start w:val="1"/>
      <w:numFmt w:val="bullet"/>
      <w:lvlText w:val=""/>
      <w:lvlJc w:val="left"/>
      <w:pPr>
        <w:ind w:left="3240" w:hanging="360"/>
      </w:pPr>
      <w:rPr>
        <w:rFonts w:ascii="Symbol" w:hAnsi="Symbol" w:hint="default"/>
      </w:rPr>
    </w:lvl>
    <w:lvl w:ilvl="4" w:tplc="E668C7B4" w:tentative="1">
      <w:start w:val="1"/>
      <w:numFmt w:val="bullet"/>
      <w:lvlText w:val="o"/>
      <w:lvlJc w:val="left"/>
      <w:pPr>
        <w:ind w:left="3960" w:hanging="360"/>
      </w:pPr>
      <w:rPr>
        <w:rFonts w:ascii="Courier New" w:hAnsi="Courier New" w:cs="Courier New" w:hint="default"/>
      </w:rPr>
    </w:lvl>
    <w:lvl w:ilvl="5" w:tplc="DA0CB2D6" w:tentative="1">
      <w:start w:val="1"/>
      <w:numFmt w:val="bullet"/>
      <w:lvlText w:val=""/>
      <w:lvlJc w:val="left"/>
      <w:pPr>
        <w:ind w:left="4680" w:hanging="360"/>
      </w:pPr>
      <w:rPr>
        <w:rFonts w:ascii="Wingdings" w:hAnsi="Wingdings" w:hint="default"/>
      </w:rPr>
    </w:lvl>
    <w:lvl w:ilvl="6" w:tplc="47DC274C" w:tentative="1">
      <w:start w:val="1"/>
      <w:numFmt w:val="bullet"/>
      <w:lvlText w:val=""/>
      <w:lvlJc w:val="left"/>
      <w:pPr>
        <w:ind w:left="5400" w:hanging="360"/>
      </w:pPr>
      <w:rPr>
        <w:rFonts w:ascii="Symbol" w:hAnsi="Symbol" w:hint="default"/>
      </w:rPr>
    </w:lvl>
    <w:lvl w:ilvl="7" w:tplc="06F4025A" w:tentative="1">
      <w:start w:val="1"/>
      <w:numFmt w:val="bullet"/>
      <w:lvlText w:val="o"/>
      <w:lvlJc w:val="left"/>
      <w:pPr>
        <w:ind w:left="6120" w:hanging="360"/>
      </w:pPr>
      <w:rPr>
        <w:rFonts w:ascii="Courier New" w:hAnsi="Courier New" w:cs="Courier New" w:hint="default"/>
      </w:rPr>
    </w:lvl>
    <w:lvl w:ilvl="8" w:tplc="AD6A5934" w:tentative="1">
      <w:start w:val="1"/>
      <w:numFmt w:val="bullet"/>
      <w:lvlText w:val=""/>
      <w:lvlJc w:val="left"/>
      <w:pPr>
        <w:ind w:left="6840" w:hanging="360"/>
      </w:pPr>
      <w:rPr>
        <w:rFonts w:ascii="Wingdings" w:hAnsi="Wingdings" w:hint="default"/>
      </w:rPr>
    </w:lvl>
  </w:abstractNum>
  <w:abstractNum w:abstractNumId="10" w15:restartNumberingAfterBreak="0">
    <w:nsid w:val="276B643B"/>
    <w:multiLevelType w:val="hybridMultilevel"/>
    <w:tmpl w:val="EC26070A"/>
    <w:lvl w:ilvl="0" w:tplc="1340E4D2">
      <w:start w:val="1"/>
      <w:numFmt w:val="decimal"/>
      <w:lvlText w:val="%1."/>
      <w:lvlJc w:val="left"/>
      <w:pPr>
        <w:ind w:left="360" w:hanging="360"/>
      </w:pPr>
      <w:rPr>
        <w:rFonts w:hint="default"/>
      </w:rPr>
    </w:lvl>
    <w:lvl w:ilvl="1" w:tplc="1234B564" w:tentative="1">
      <w:start w:val="1"/>
      <w:numFmt w:val="lowerLetter"/>
      <w:lvlText w:val="%2."/>
      <w:lvlJc w:val="left"/>
      <w:pPr>
        <w:ind w:left="1440" w:hanging="360"/>
      </w:pPr>
    </w:lvl>
    <w:lvl w:ilvl="2" w:tplc="5FC4744C" w:tentative="1">
      <w:start w:val="1"/>
      <w:numFmt w:val="lowerRoman"/>
      <w:lvlText w:val="%3."/>
      <w:lvlJc w:val="right"/>
      <w:pPr>
        <w:ind w:left="2160" w:hanging="180"/>
      </w:pPr>
    </w:lvl>
    <w:lvl w:ilvl="3" w:tplc="FA6A5632" w:tentative="1">
      <w:start w:val="1"/>
      <w:numFmt w:val="decimal"/>
      <w:lvlText w:val="%4."/>
      <w:lvlJc w:val="left"/>
      <w:pPr>
        <w:ind w:left="2880" w:hanging="360"/>
      </w:pPr>
    </w:lvl>
    <w:lvl w:ilvl="4" w:tplc="1F124C26" w:tentative="1">
      <w:start w:val="1"/>
      <w:numFmt w:val="lowerLetter"/>
      <w:lvlText w:val="%5."/>
      <w:lvlJc w:val="left"/>
      <w:pPr>
        <w:ind w:left="3600" w:hanging="360"/>
      </w:pPr>
    </w:lvl>
    <w:lvl w:ilvl="5" w:tplc="9ACCFBE6" w:tentative="1">
      <w:start w:val="1"/>
      <w:numFmt w:val="lowerRoman"/>
      <w:lvlText w:val="%6."/>
      <w:lvlJc w:val="right"/>
      <w:pPr>
        <w:ind w:left="4320" w:hanging="180"/>
      </w:pPr>
    </w:lvl>
    <w:lvl w:ilvl="6" w:tplc="60841F7E" w:tentative="1">
      <w:start w:val="1"/>
      <w:numFmt w:val="decimal"/>
      <w:lvlText w:val="%7."/>
      <w:lvlJc w:val="left"/>
      <w:pPr>
        <w:ind w:left="5040" w:hanging="360"/>
      </w:pPr>
    </w:lvl>
    <w:lvl w:ilvl="7" w:tplc="7148672A" w:tentative="1">
      <w:start w:val="1"/>
      <w:numFmt w:val="lowerLetter"/>
      <w:lvlText w:val="%8."/>
      <w:lvlJc w:val="left"/>
      <w:pPr>
        <w:ind w:left="5760" w:hanging="360"/>
      </w:pPr>
    </w:lvl>
    <w:lvl w:ilvl="8" w:tplc="3DBCC716" w:tentative="1">
      <w:start w:val="1"/>
      <w:numFmt w:val="lowerRoman"/>
      <w:lvlText w:val="%9."/>
      <w:lvlJc w:val="right"/>
      <w:pPr>
        <w:ind w:left="6480" w:hanging="180"/>
      </w:pPr>
    </w:lvl>
  </w:abstractNum>
  <w:abstractNum w:abstractNumId="11" w15:restartNumberingAfterBreak="0">
    <w:nsid w:val="283A7606"/>
    <w:multiLevelType w:val="hybridMultilevel"/>
    <w:tmpl w:val="09AC5EEE"/>
    <w:lvl w:ilvl="0" w:tplc="E3BAE7B8">
      <w:start w:val="1"/>
      <w:numFmt w:val="bullet"/>
      <w:lvlText w:val=""/>
      <w:lvlJc w:val="left"/>
      <w:pPr>
        <w:ind w:left="1440" w:hanging="360"/>
      </w:pPr>
      <w:rPr>
        <w:rFonts w:ascii="Symbol" w:hAnsi="Symbol" w:hint="default"/>
      </w:rPr>
    </w:lvl>
    <w:lvl w:ilvl="1" w:tplc="41B2A05E" w:tentative="1">
      <w:start w:val="1"/>
      <w:numFmt w:val="lowerLetter"/>
      <w:lvlText w:val="%2."/>
      <w:lvlJc w:val="left"/>
      <w:pPr>
        <w:ind w:left="2160" w:hanging="360"/>
      </w:pPr>
    </w:lvl>
    <w:lvl w:ilvl="2" w:tplc="9FB42296" w:tentative="1">
      <w:start w:val="1"/>
      <w:numFmt w:val="lowerRoman"/>
      <w:lvlText w:val="%3."/>
      <w:lvlJc w:val="right"/>
      <w:pPr>
        <w:ind w:left="2880" w:hanging="180"/>
      </w:pPr>
    </w:lvl>
    <w:lvl w:ilvl="3" w:tplc="31029E30" w:tentative="1">
      <w:start w:val="1"/>
      <w:numFmt w:val="decimal"/>
      <w:lvlText w:val="%4."/>
      <w:lvlJc w:val="left"/>
      <w:pPr>
        <w:ind w:left="3600" w:hanging="360"/>
      </w:pPr>
    </w:lvl>
    <w:lvl w:ilvl="4" w:tplc="2DE65078" w:tentative="1">
      <w:start w:val="1"/>
      <w:numFmt w:val="lowerLetter"/>
      <w:lvlText w:val="%5."/>
      <w:lvlJc w:val="left"/>
      <w:pPr>
        <w:ind w:left="4320" w:hanging="360"/>
      </w:pPr>
    </w:lvl>
    <w:lvl w:ilvl="5" w:tplc="607848B0" w:tentative="1">
      <w:start w:val="1"/>
      <w:numFmt w:val="lowerRoman"/>
      <w:lvlText w:val="%6."/>
      <w:lvlJc w:val="right"/>
      <w:pPr>
        <w:ind w:left="5040" w:hanging="180"/>
      </w:pPr>
    </w:lvl>
    <w:lvl w:ilvl="6" w:tplc="D57223D4" w:tentative="1">
      <w:start w:val="1"/>
      <w:numFmt w:val="decimal"/>
      <w:lvlText w:val="%7."/>
      <w:lvlJc w:val="left"/>
      <w:pPr>
        <w:ind w:left="5760" w:hanging="360"/>
      </w:pPr>
    </w:lvl>
    <w:lvl w:ilvl="7" w:tplc="C3228B72" w:tentative="1">
      <w:start w:val="1"/>
      <w:numFmt w:val="lowerLetter"/>
      <w:lvlText w:val="%8."/>
      <w:lvlJc w:val="left"/>
      <w:pPr>
        <w:ind w:left="6480" w:hanging="360"/>
      </w:pPr>
    </w:lvl>
    <w:lvl w:ilvl="8" w:tplc="288AAFA6" w:tentative="1">
      <w:start w:val="1"/>
      <w:numFmt w:val="lowerRoman"/>
      <w:lvlText w:val="%9."/>
      <w:lvlJc w:val="right"/>
      <w:pPr>
        <w:ind w:left="7200" w:hanging="180"/>
      </w:pPr>
    </w:lvl>
  </w:abstractNum>
  <w:abstractNum w:abstractNumId="12" w15:restartNumberingAfterBreak="0">
    <w:nsid w:val="2D107421"/>
    <w:multiLevelType w:val="hybridMultilevel"/>
    <w:tmpl w:val="686A10DA"/>
    <w:lvl w:ilvl="0" w:tplc="6F988DA6">
      <w:start w:val="1"/>
      <w:numFmt w:val="decimal"/>
      <w:pStyle w:val="subsectionno"/>
      <w:lvlText w:val="%1)"/>
      <w:lvlJc w:val="left"/>
      <w:pPr>
        <w:ind w:left="1080" w:hanging="360"/>
      </w:pPr>
      <w:rPr>
        <w:rFonts w:hint="default"/>
      </w:rPr>
    </w:lvl>
    <w:lvl w:ilvl="1" w:tplc="BE6CCF3C" w:tentative="1">
      <w:start w:val="1"/>
      <w:numFmt w:val="lowerLetter"/>
      <w:lvlText w:val="%2."/>
      <w:lvlJc w:val="left"/>
      <w:pPr>
        <w:ind w:left="1800" w:hanging="360"/>
      </w:pPr>
    </w:lvl>
    <w:lvl w:ilvl="2" w:tplc="A7E20052" w:tentative="1">
      <w:start w:val="1"/>
      <w:numFmt w:val="lowerRoman"/>
      <w:lvlText w:val="%3."/>
      <w:lvlJc w:val="right"/>
      <w:pPr>
        <w:ind w:left="2520" w:hanging="180"/>
      </w:pPr>
    </w:lvl>
    <w:lvl w:ilvl="3" w:tplc="C84CB99E" w:tentative="1">
      <w:start w:val="1"/>
      <w:numFmt w:val="decimal"/>
      <w:lvlText w:val="%4."/>
      <w:lvlJc w:val="left"/>
      <w:pPr>
        <w:ind w:left="3240" w:hanging="360"/>
      </w:pPr>
    </w:lvl>
    <w:lvl w:ilvl="4" w:tplc="534055E0" w:tentative="1">
      <w:start w:val="1"/>
      <w:numFmt w:val="lowerLetter"/>
      <w:lvlText w:val="%5."/>
      <w:lvlJc w:val="left"/>
      <w:pPr>
        <w:ind w:left="3960" w:hanging="360"/>
      </w:pPr>
    </w:lvl>
    <w:lvl w:ilvl="5" w:tplc="F9BAF8CA" w:tentative="1">
      <w:start w:val="1"/>
      <w:numFmt w:val="lowerRoman"/>
      <w:lvlText w:val="%6."/>
      <w:lvlJc w:val="right"/>
      <w:pPr>
        <w:ind w:left="4680" w:hanging="180"/>
      </w:pPr>
    </w:lvl>
    <w:lvl w:ilvl="6" w:tplc="12C8F99E" w:tentative="1">
      <w:start w:val="1"/>
      <w:numFmt w:val="decimal"/>
      <w:lvlText w:val="%7."/>
      <w:lvlJc w:val="left"/>
      <w:pPr>
        <w:ind w:left="5400" w:hanging="360"/>
      </w:pPr>
    </w:lvl>
    <w:lvl w:ilvl="7" w:tplc="BB2E6452" w:tentative="1">
      <w:start w:val="1"/>
      <w:numFmt w:val="lowerLetter"/>
      <w:lvlText w:val="%8."/>
      <w:lvlJc w:val="left"/>
      <w:pPr>
        <w:ind w:left="6120" w:hanging="360"/>
      </w:pPr>
    </w:lvl>
    <w:lvl w:ilvl="8" w:tplc="2C8A03C0" w:tentative="1">
      <w:start w:val="1"/>
      <w:numFmt w:val="lowerRoman"/>
      <w:lvlText w:val="%9."/>
      <w:lvlJc w:val="right"/>
      <w:pPr>
        <w:ind w:left="6840" w:hanging="180"/>
      </w:pPr>
    </w:lvl>
  </w:abstractNum>
  <w:abstractNum w:abstractNumId="13" w15:restartNumberingAfterBreak="0">
    <w:nsid w:val="38D45494"/>
    <w:multiLevelType w:val="hybridMultilevel"/>
    <w:tmpl w:val="DECA8A08"/>
    <w:lvl w:ilvl="0" w:tplc="EC2021EE">
      <w:start w:val="3"/>
      <w:numFmt w:val="decimal"/>
      <w:lvlText w:val="%1."/>
      <w:lvlJc w:val="left"/>
      <w:pPr>
        <w:ind w:left="720" w:hanging="360"/>
      </w:pPr>
      <w:rPr>
        <w:rFonts w:hint="default"/>
      </w:rPr>
    </w:lvl>
    <w:lvl w:ilvl="1" w:tplc="F4B2F80C" w:tentative="1">
      <w:start w:val="1"/>
      <w:numFmt w:val="lowerLetter"/>
      <w:lvlText w:val="%2."/>
      <w:lvlJc w:val="left"/>
      <w:pPr>
        <w:ind w:left="1440" w:hanging="360"/>
      </w:pPr>
    </w:lvl>
    <w:lvl w:ilvl="2" w:tplc="ABA0C56C" w:tentative="1">
      <w:start w:val="1"/>
      <w:numFmt w:val="lowerRoman"/>
      <w:lvlText w:val="%3."/>
      <w:lvlJc w:val="right"/>
      <w:pPr>
        <w:ind w:left="2160" w:hanging="180"/>
      </w:pPr>
    </w:lvl>
    <w:lvl w:ilvl="3" w:tplc="551A1B12" w:tentative="1">
      <w:start w:val="1"/>
      <w:numFmt w:val="decimal"/>
      <w:lvlText w:val="%4."/>
      <w:lvlJc w:val="left"/>
      <w:pPr>
        <w:ind w:left="2880" w:hanging="360"/>
      </w:pPr>
    </w:lvl>
    <w:lvl w:ilvl="4" w:tplc="EF7CF5D2" w:tentative="1">
      <w:start w:val="1"/>
      <w:numFmt w:val="lowerLetter"/>
      <w:lvlText w:val="%5."/>
      <w:lvlJc w:val="left"/>
      <w:pPr>
        <w:ind w:left="3600" w:hanging="360"/>
      </w:pPr>
    </w:lvl>
    <w:lvl w:ilvl="5" w:tplc="03DC728E" w:tentative="1">
      <w:start w:val="1"/>
      <w:numFmt w:val="lowerRoman"/>
      <w:lvlText w:val="%6."/>
      <w:lvlJc w:val="right"/>
      <w:pPr>
        <w:ind w:left="4320" w:hanging="180"/>
      </w:pPr>
    </w:lvl>
    <w:lvl w:ilvl="6" w:tplc="17D4770A" w:tentative="1">
      <w:start w:val="1"/>
      <w:numFmt w:val="decimal"/>
      <w:lvlText w:val="%7."/>
      <w:lvlJc w:val="left"/>
      <w:pPr>
        <w:ind w:left="5040" w:hanging="360"/>
      </w:pPr>
    </w:lvl>
    <w:lvl w:ilvl="7" w:tplc="3DC06ABE" w:tentative="1">
      <w:start w:val="1"/>
      <w:numFmt w:val="lowerLetter"/>
      <w:lvlText w:val="%8."/>
      <w:lvlJc w:val="left"/>
      <w:pPr>
        <w:ind w:left="5760" w:hanging="360"/>
      </w:pPr>
    </w:lvl>
    <w:lvl w:ilvl="8" w:tplc="6532A396" w:tentative="1">
      <w:start w:val="1"/>
      <w:numFmt w:val="lowerRoman"/>
      <w:lvlText w:val="%9."/>
      <w:lvlJc w:val="right"/>
      <w:pPr>
        <w:ind w:left="6480" w:hanging="180"/>
      </w:pPr>
    </w:lvl>
  </w:abstractNum>
  <w:abstractNum w:abstractNumId="14" w15:restartNumberingAfterBreak="0">
    <w:nsid w:val="3C04284E"/>
    <w:multiLevelType w:val="hybridMultilevel"/>
    <w:tmpl w:val="0B983060"/>
    <w:lvl w:ilvl="0" w:tplc="C37E7144">
      <w:start w:val="1"/>
      <w:numFmt w:val="bullet"/>
      <w:lvlText w:val=""/>
      <w:lvlJc w:val="left"/>
      <w:pPr>
        <w:ind w:left="1080" w:hanging="360"/>
      </w:pPr>
      <w:rPr>
        <w:rFonts w:ascii="Symbol" w:hAnsi="Symbol" w:hint="default"/>
      </w:rPr>
    </w:lvl>
    <w:lvl w:ilvl="1" w:tplc="D5DC0590" w:tentative="1">
      <w:start w:val="1"/>
      <w:numFmt w:val="bullet"/>
      <w:lvlText w:val="o"/>
      <w:lvlJc w:val="left"/>
      <w:pPr>
        <w:ind w:left="1800" w:hanging="360"/>
      </w:pPr>
      <w:rPr>
        <w:rFonts w:ascii="Courier New" w:hAnsi="Courier New" w:cs="Courier New" w:hint="default"/>
      </w:rPr>
    </w:lvl>
    <w:lvl w:ilvl="2" w:tplc="C9C03DC0" w:tentative="1">
      <w:start w:val="1"/>
      <w:numFmt w:val="bullet"/>
      <w:lvlText w:val=""/>
      <w:lvlJc w:val="left"/>
      <w:pPr>
        <w:ind w:left="2520" w:hanging="360"/>
      </w:pPr>
      <w:rPr>
        <w:rFonts w:ascii="Wingdings" w:hAnsi="Wingdings" w:hint="default"/>
      </w:rPr>
    </w:lvl>
    <w:lvl w:ilvl="3" w:tplc="5402243E" w:tentative="1">
      <w:start w:val="1"/>
      <w:numFmt w:val="bullet"/>
      <w:lvlText w:val=""/>
      <w:lvlJc w:val="left"/>
      <w:pPr>
        <w:ind w:left="3240" w:hanging="360"/>
      </w:pPr>
      <w:rPr>
        <w:rFonts w:ascii="Symbol" w:hAnsi="Symbol" w:hint="default"/>
      </w:rPr>
    </w:lvl>
    <w:lvl w:ilvl="4" w:tplc="B88EB060" w:tentative="1">
      <w:start w:val="1"/>
      <w:numFmt w:val="bullet"/>
      <w:lvlText w:val="o"/>
      <w:lvlJc w:val="left"/>
      <w:pPr>
        <w:ind w:left="3960" w:hanging="360"/>
      </w:pPr>
      <w:rPr>
        <w:rFonts w:ascii="Courier New" w:hAnsi="Courier New" w:cs="Courier New" w:hint="default"/>
      </w:rPr>
    </w:lvl>
    <w:lvl w:ilvl="5" w:tplc="DD00C1C4" w:tentative="1">
      <w:start w:val="1"/>
      <w:numFmt w:val="bullet"/>
      <w:lvlText w:val=""/>
      <w:lvlJc w:val="left"/>
      <w:pPr>
        <w:ind w:left="4680" w:hanging="360"/>
      </w:pPr>
      <w:rPr>
        <w:rFonts w:ascii="Wingdings" w:hAnsi="Wingdings" w:hint="default"/>
      </w:rPr>
    </w:lvl>
    <w:lvl w:ilvl="6" w:tplc="0B2E625E" w:tentative="1">
      <w:start w:val="1"/>
      <w:numFmt w:val="bullet"/>
      <w:lvlText w:val=""/>
      <w:lvlJc w:val="left"/>
      <w:pPr>
        <w:ind w:left="5400" w:hanging="360"/>
      </w:pPr>
      <w:rPr>
        <w:rFonts w:ascii="Symbol" w:hAnsi="Symbol" w:hint="default"/>
      </w:rPr>
    </w:lvl>
    <w:lvl w:ilvl="7" w:tplc="243C5CFE" w:tentative="1">
      <w:start w:val="1"/>
      <w:numFmt w:val="bullet"/>
      <w:lvlText w:val="o"/>
      <w:lvlJc w:val="left"/>
      <w:pPr>
        <w:ind w:left="6120" w:hanging="360"/>
      </w:pPr>
      <w:rPr>
        <w:rFonts w:ascii="Courier New" w:hAnsi="Courier New" w:cs="Courier New" w:hint="default"/>
      </w:rPr>
    </w:lvl>
    <w:lvl w:ilvl="8" w:tplc="DFBE277E" w:tentative="1">
      <w:start w:val="1"/>
      <w:numFmt w:val="bullet"/>
      <w:lvlText w:val=""/>
      <w:lvlJc w:val="left"/>
      <w:pPr>
        <w:ind w:left="6840" w:hanging="360"/>
      </w:pPr>
      <w:rPr>
        <w:rFonts w:ascii="Wingdings" w:hAnsi="Wingdings" w:hint="default"/>
      </w:rPr>
    </w:lvl>
  </w:abstractNum>
  <w:abstractNum w:abstractNumId="15" w15:restartNumberingAfterBreak="0">
    <w:nsid w:val="4F7862DE"/>
    <w:multiLevelType w:val="hybridMultilevel"/>
    <w:tmpl w:val="E05A5BC2"/>
    <w:lvl w:ilvl="0" w:tplc="53E26168">
      <w:start w:val="1"/>
      <w:numFmt w:val="bullet"/>
      <w:lvlText w:val=""/>
      <w:lvlJc w:val="left"/>
      <w:pPr>
        <w:ind w:left="2160" w:hanging="360"/>
      </w:pPr>
      <w:rPr>
        <w:rFonts w:ascii="Symbol" w:hAnsi="Symbol" w:hint="default"/>
      </w:rPr>
    </w:lvl>
    <w:lvl w:ilvl="1" w:tplc="65780260" w:tentative="1">
      <w:start w:val="1"/>
      <w:numFmt w:val="bullet"/>
      <w:lvlText w:val="o"/>
      <w:lvlJc w:val="left"/>
      <w:pPr>
        <w:ind w:left="2880" w:hanging="360"/>
      </w:pPr>
      <w:rPr>
        <w:rFonts w:ascii="Courier New" w:hAnsi="Courier New" w:cs="Courier New" w:hint="default"/>
      </w:rPr>
    </w:lvl>
    <w:lvl w:ilvl="2" w:tplc="8CDEAEEE" w:tentative="1">
      <w:start w:val="1"/>
      <w:numFmt w:val="bullet"/>
      <w:lvlText w:val=""/>
      <w:lvlJc w:val="left"/>
      <w:pPr>
        <w:ind w:left="3600" w:hanging="360"/>
      </w:pPr>
      <w:rPr>
        <w:rFonts w:ascii="Wingdings" w:hAnsi="Wingdings" w:hint="default"/>
      </w:rPr>
    </w:lvl>
    <w:lvl w:ilvl="3" w:tplc="80560A0A" w:tentative="1">
      <w:start w:val="1"/>
      <w:numFmt w:val="bullet"/>
      <w:lvlText w:val=""/>
      <w:lvlJc w:val="left"/>
      <w:pPr>
        <w:ind w:left="4320" w:hanging="360"/>
      </w:pPr>
      <w:rPr>
        <w:rFonts w:ascii="Symbol" w:hAnsi="Symbol" w:hint="default"/>
      </w:rPr>
    </w:lvl>
    <w:lvl w:ilvl="4" w:tplc="972E5BB2" w:tentative="1">
      <w:start w:val="1"/>
      <w:numFmt w:val="bullet"/>
      <w:lvlText w:val="o"/>
      <w:lvlJc w:val="left"/>
      <w:pPr>
        <w:ind w:left="5040" w:hanging="360"/>
      </w:pPr>
      <w:rPr>
        <w:rFonts w:ascii="Courier New" w:hAnsi="Courier New" w:cs="Courier New" w:hint="default"/>
      </w:rPr>
    </w:lvl>
    <w:lvl w:ilvl="5" w:tplc="52A6350E" w:tentative="1">
      <w:start w:val="1"/>
      <w:numFmt w:val="bullet"/>
      <w:lvlText w:val=""/>
      <w:lvlJc w:val="left"/>
      <w:pPr>
        <w:ind w:left="5760" w:hanging="360"/>
      </w:pPr>
      <w:rPr>
        <w:rFonts w:ascii="Wingdings" w:hAnsi="Wingdings" w:hint="default"/>
      </w:rPr>
    </w:lvl>
    <w:lvl w:ilvl="6" w:tplc="E7B0FC8E" w:tentative="1">
      <w:start w:val="1"/>
      <w:numFmt w:val="bullet"/>
      <w:lvlText w:val=""/>
      <w:lvlJc w:val="left"/>
      <w:pPr>
        <w:ind w:left="6480" w:hanging="360"/>
      </w:pPr>
      <w:rPr>
        <w:rFonts w:ascii="Symbol" w:hAnsi="Symbol" w:hint="default"/>
      </w:rPr>
    </w:lvl>
    <w:lvl w:ilvl="7" w:tplc="9E42D90A" w:tentative="1">
      <w:start w:val="1"/>
      <w:numFmt w:val="bullet"/>
      <w:lvlText w:val="o"/>
      <w:lvlJc w:val="left"/>
      <w:pPr>
        <w:ind w:left="7200" w:hanging="360"/>
      </w:pPr>
      <w:rPr>
        <w:rFonts w:ascii="Courier New" w:hAnsi="Courier New" w:cs="Courier New" w:hint="default"/>
      </w:rPr>
    </w:lvl>
    <w:lvl w:ilvl="8" w:tplc="F2FA258C" w:tentative="1">
      <w:start w:val="1"/>
      <w:numFmt w:val="bullet"/>
      <w:lvlText w:val=""/>
      <w:lvlJc w:val="left"/>
      <w:pPr>
        <w:ind w:left="7920" w:hanging="360"/>
      </w:pPr>
      <w:rPr>
        <w:rFonts w:ascii="Wingdings" w:hAnsi="Wingdings" w:hint="default"/>
      </w:rPr>
    </w:lvl>
  </w:abstractNum>
  <w:abstractNum w:abstractNumId="16" w15:restartNumberingAfterBreak="0">
    <w:nsid w:val="52802EB9"/>
    <w:multiLevelType w:val="hybridMultilevel"/>
    <w:tmpl w:val="D94026E4"/>
    <w:lvl w:ilvl="0" w:tplc="40988992">
      <w:start w:val="1"/>
      <w:numFmt w:val="decimal"/>
      <w:lvlText w:val="%1."/>
      <w:lvlJc w:val="left"/>
      <w:pPr>
        <w:ind w:left="1080" w:hanging="360"/>
      </w:pPr>
    </w:lvl>
    <w:lvl w:ilvl="1" w:tplc="0DCC96CE">
      <w:start w:val="1"/>
      <w:numFmt w:val="lowerLetter"/>
      <w:lvlText w:val="%2."/>
      <w:lvlJc w:val="left"/>
      <w:pPr>
        <w:ind w:left="2160" w:hanging="360"/>
      </w:pPr>
    </w:lvl>
    <w:lvl w:ilvl="2" w:tplc="D248D354">
      <w:start w:val="1"/>
      <w:numFmt w:val="lowerRoman"/>
      <w:lvlText w:val="%3."/>
      <w:lvlJc w:val="right"/>
      <w:pPr>
        <w:ind w:left="2880" w:hanging="180"/>
      </w:pPr>
    </w:lvl>
    <w:lvl w:ilvl="3" w:tplc="C2F6EC98">
      <w:start w:val="1"/>
      <w:numFmt w:val="decimal"/>
      <w:lvlText w:val="%4."/>
      <w:lvlJc w:val="left"/>
      <w:pPr>
        <w:ind w:left="3600" w:hanging="360"/>
      </w:pPr>
    </w:lvl>
    <w:lvl w:ilvl="4" w:tplc="4A46B2EA">
      <w:start w:val="1"/>
      <w:numFmt w:val="lowerLetter"/>
      <w:lvlText w:val="%5."/>
      <w:lvlJc w:val="left"/>
      <w:pPr>
        <w:ind w:left="4320" w:hanging="360"/>
      </w:pPr>
    </w:lvl>
    <w:lvl w:ilvl="5" w:tplc="4DEA6AD2">
      <w:start w:val="1"/>
      <w:numFmt w:val="lowerRoman"/>
      <w:lvlText w:val="%6."/>
      <w:lvlJc w:val="right"/>
      <w:pPr>
        <w:ind w:left="5040" w:hanging="180"/>
      </w:pPr>
    </w:lvl>
    <w:lvl w:ilvl="6" w:tplc="6474200C">
      <w:start w:val="1"/>
      <w:numFmt w:val="decimal"/>
      <w:lvlText w:val="%7."/>
      <w:lvlJc w:val="left"/>
      <w:pPr>
        <w:ind w:left="5760" w:hanging="360"/>
      </w:pPr>
    </w:lvl>
    <w:lvl w:ilvl="7" w:tplc="B8AE70F2">
      <w:start w:val="1"/>
      <w:numFmt w:val="lowerLetter"/>
      <w:lvlText w:val="%8."/>
      <w:lvlJc w:val="left"/>
      <w:pPr>
        <w:ind w:left="6480" w:hanging="360"/>
      </w:pPr>
    </w:lvl>
    <w:lvl w:ilvl="8" w:tplc="60ECC4F4">
      <w:start w:val="1"/>
      <w:numFmt w:val="lowerRoman"/>
      <w:lvlText w:val="%9."/>
      <w:lvlJc w:val="right"/>
      <w:pPr>
        <w:ind w:left="7200" w:hanging="180"/>
      </w:pPr>
    </w:lvl>
  </w:abstractNum>
  <w:abstractNum w:abstractNumId="17" w15:restartNumberingAfterBreak="0">
    <w:nsid w:val="5494772F"/>
    <w:multiLevelType w:val="hybridMultilevel"/>
    <w:tmpl w:val="41108E70"/>
    <w:lvl w:ilvl="0" w:tplc="35904460">
      <w:start w:val="1"/>
      <w:numFmt w:val="decimal"/>
      <w:pStyle w:val="newlist"/>
      <w:lvlText w:val="%1."/>
      <w:lvlJc w:val="left"/>
      <w:pPr>
        <w:ind w:left="720" w:hanging="360"/>
      </w:pPr>
      <w:rPr>
        <w:rFonts w:hint="default"/>
      </w:rPr>
    </w:lvl>
    <w:lvl w:ilvl="1" w:tplc="7AAEEFEA" w:tentative="1">
      <w:start w:val="1"/>
      <w:numFmt w:val="lowerLetter"/>
      <w:lvlText w:val="%2."/>
      <w:lvlJc w:val="left"/>
      <w:pPr>
        <w:ind w:left="1440" w:hanging="360"/>
      </w:pPr>
    </w:lvl>
    <w:lvl w:ilvl="2" w:tplc="67C0920A" w:tentative="1">
      <w:start w:val="1"/>
      <w:numFmt w:val="lowerRoman"/>
      <w:lvlText w:val="%3."/>
      <w:lvlJc w:val="right"/>
      <w:pPr>
        <w:ind w:left="2160" w:hanging="180"/>
      </w:pPr>
    </w:lvl>
    <w:lvl w:ilvl="3" w:tplc="FF0C362E" w:tentative="1">
      <w:start w:val="1"/>
      <w:numFmt w:val="decimal"/>
      <w:lvlText w:val="%4."/>
      <w:lvlJc w:val="left"/>
      <w:pPr>
        <w:ind w:left="2880" w:hanging="360"/>
      </w:pPr>
    </w:lvl>
    <w:lvl w:ilvl="4" w:tplc="E06ACFAE" w:tentative="1">
      <w:start w:val="1"/>
      <w:numFmt w:val="lowerLetter"/>
      <w:lvlText w:val="%5."/>
      <w:lvlJc w:val="left"/>
      <w:pPr>
        <w:ind w:left="3600" w:hanging="360"/>
      </w:pPr>
    </w:lvl>
    <w:lvl w:ilvl="5" w:tplc="BC488C02" w:tentative="1">
      <w:start w:val="1"/>
      <w:numFmt w:val="lowerRoman"/>
      <w:lvlText w:val="%6."/>
      <w:lvlJc w:val="right"/>
      <w:pPr>
        <w:ind w:left="4320" w:hanging="180"/>
      </w:pPr>
    </w:lvl>
    <w:lvl w:ilvl="6" w:tplc="96C20864" w:tentative="1">
      <w:start w:val="1"/>
      <w:numFmt w:val="decimal"/>
      <w:lvlText w:val="%7."/>
      <w:lvlJc w:val="left"/>
      <w:pPr>
        <w:ind w:left="5040" w:hanging="360"/>
      </w:pPr>
    </w:lvl>
    <w:lvl w:ilvl="7" w:tplc="3F667EAA" w:tentative="1">
      <w:start w:val="1"/>
      <w:numFmt w:val="lowerLetter"/>
      <w:lvlText w:val="%8."/>
      <w:lvlJc w:val="left"/>
      <w:pPr>
        <w:ind w:left="5760" w:hanging="360"/>
      </w:pPr>
    </w:lvl>
    <w:lvl w:ilvl="8" w:tplc="C74C6AE0" w:tentative="1">
      <w:start w:val="1"/>
      <w:numFmt w:val="lowerRoman"/>
      <w:lvlText w:val="%9."/>
      <w:lvlJc w:val="right"/>
      <w:pPr>
        <w:ind w:left="6480" w:hanging="180"/>
      </w:pPr>
    </w:lvl>
  </w:abstractNum>
  <w:abstractNum w:abstractNumId="18" w15:restartNumberingAfterBreak="0">
    <w:nsid w:val="5C5F6F51"/>
    <w:multiLevelType w:val="hybridMultilevel"/>
    <w:tmpl w:val="25B26F84"/>
    <w:lvl w:ilvl="0" w:tplc="7FE29B32">
      <w:start w:val="3"/>
      <w:numFmt w:val="decimal"/>
      <w:lvlText w:val="%1."/>
      <w:lvlJc w:val="left"/>
      <w:pPr>
        <w:ind w:left="720" w:hanging="360"/>
      </w:pPr>
      <w:rPr>
        <w:rFonts w:hint="default"/>
      </w:rPr>
    </w:lvl>
    <w:lvl w:ilvl="1" w:tplc="55B2FCDE" w:tentative="1">
      <w:start w:val="1"/>
      <w:numFmt w:val="lowerLetter"/>
      <w:lvlText w:val="%2."/>
      <w:lvlJc w:val="left"/>
      <w:pPr>
        <w:ind w:left="1440" w:hanging="360"/>
      </w:pPr>
    </w:lvl>
    <w:lvl w:ilvl="2" w:tplc="9E64CA6E" w:tentative="1">
      <w:start w:val="1"/>
      <w:numFmt w:val="lowerRoman"/>
      <w:lvlText w:val="%3."/>
      <w:lvlJc w:val="right"/>
      <w:pPr>
        <w:ind w:left="2160" w:hanging="180"/>
      </w:pPr>
    </w:lvl>
    <w:lvl w:ilvl="3" w:tplc="77542EBA" w:tentative="1">
      <w:start w:val="1"/>
      <w:numFmt w:val="decimal"/>
      <w:lvlText w:val="%4."/>
      <w:lvlJc w:val="left"/>
      <w:pPr>
        <w:ind w:left="2880" w:hanging="360"/>
      </w:pPr>
    </w:lvl>
    <w:lvl w:ilvl="4" w:tplc="E768FC68" w:tentative="1">
      <w:start w:val="1"/>
      <w:numFmt w:val="lowerLetter"/>
      <w:lvlText w:val="%5."/>
      <w:lvlJc w:val="left"/>
      <w:pPr>
        <w:ind w:left="3600" w:hanging="360"/>
      </w:pPr>
    </w:lvl>
    <w:lvl w:ilvl="5" w:tplc="D5BACEE0" w:tentative="1">
      <w:start w:val="1"/>
      <w:numFmt w:val="lowerRoman"/>
      <w:lvlText w:val="%6."/>
      <w:lvlJc w:val="right"/>
      <w:pPr>
        <w:ind w:left="4320" w:hanging="180"/>
      </w:pPr>
    </w:lvl>
    <w:lvl w:ilvl="6" w:tplc="274879F8" w:tentative="1">
      <w:start w:val="1"/>
      <w:numFmt w:val="decimal"/>
      <w:lvlText w:val="%7."/>
      <w:lvlJc w:val="left"/>
      <w:pPr>
        <w:ind w:left="5040" w:hanging="360"/>
      </w:pPr>
    </w:lvl>
    <w:lvl w:ilvl="7" w:tplc="7C60147E" w:tentative="1">
      <w:start w:val="1"/>
      <w:numFmt w:val="lowerLetter"/>
      <w:lvlText w:val="%8."/>
      <w:lvlJc w:val="left"/>
      <w:pPr>
        <w:ind w:left="5760" w:hanging="360"/>
      </w:pPr>
    </w:lvl>
    <w:lvl w:ilvl="8" w:tplc="814A6684" w:tentative="1">
      <w:start w:val="1"/>
      <w:numFmt w:val="lowerRoman"/>
      <w:lvlText w:val="%9."/>
      <w:lvlJc w:val="right"/>
      <w:pPr>
        <w:ind w:left="6480" w:hanging="180"/>
      </w:pPr>
    </w:lvl>
  </w:abstractNum>
  <w:abstractNum w:abstractNumId="19" w15:restartNumberingAfterBreak="0">
    <w:nsid w:val="5DDD449A"/>
    <w:multiLevelType w:val="hybridMultilevel"/>
    <w:tmpl w:val="2D2A0148"/>
    <w:lvl w:ilvl="0" w:tplc="DA3816A0">
      <w:start w:val="1"/>
      <w:numFmt w:val="bullet"/>
      <w:lvlText w:val=""/>
      <w:lvlJc w:val="left"/>
      <w:pPr>
        <w:ind w:left="1080" w:hanging="360"/>
      </w:pPr>
      <w:rPr>
        <w:rFonts w:ascii="Symbol" w:hAnsi="Symbol" w:hint="default"/>
      </w:rPr>
    </w:lvl>
    <w:lvl w:ilvl="1" w:tplc="3EEA097A" w:tentative="1">
      <w:start w:val="1"/>
      <w:numFmt w:val="bullet"/>
      <w:lvlText w:val="o"/>
      <w:lvlJc w:val="left"/>
      <w:pPr>
        <w:ind w:left="1800" w:hanging="360"/>
      </w:pPr>
      <w:rPr>
        <w:rFonts w:ascii="Courier New" w:hAnsi="Courier New" w:cs="Courier New" w:hint="default"/>
      </w:rPr>
    </w:lvl>
    <w:lvl w:ilvl="2" w:tplc="EBFCD048" w:tentative="1">
      <w:start w:val="1"/>
      <w:numFmt w:val="bullet"/>
      <w:lvlText w:val=""/>
      <w:lvlJc w:val="left"/>
      <w:pPr>
        <w:ind w:left="2520" w:hanging="360"/>
      </w:pPr>
      <w:rPr>
        <w:rFonts w:ascii="Wingdings" w:hAnsi="Wingdings" w:hint="default"/>
      </w:rPr>
    </w:lvl>
    <w:lvl w:ilvl="3" w:tplc="F4481CD0" w:tentative="1">
      <w:start w:val="1"/>
      <w:numFmt w:val="bullet"/>
      <w:lvlText w:val=""/>
      <w:lvlJc w:val="left"/>
      <w:pPr>
        <w:ind w:left="3240" w:hanging="360"/>
      </w:pPr>
      <w:rPr>
        <w:rFonts w:ascii="Symbol" w:hAnsi="Symbol" w:hint="default"/>
      </w:rPr>
    </w:lvl>
    <w:lvl w:ilvl="4" w:tplc="B2B42BB0" w:tentative="1">
      <w:start w:val="1"/>
      <w:numFmt w:val="bullet"/>
      <w:lvlText w:val="o"/>
      <w:lvlJc w:val="left"/>
      <w:pPr>
        <w:ind w:left="3960" w:hanging="360"/>
      </w:pPr>
      <w:rPr>
        <w:rFonts w:ascii="Courier New" w:hAnsi="Courier New" w:cs="Courier New" w:hint="default"/>
      </w:rPr>
    </w:lvl>
    <w:lvl w:ilvl="5" w:tplc="73F2710A" w:tentative="1">
      <w:start w:val="1"/>
      <w:numFmt w:val="bullet"/>
      <w:lvlText w:val=""/>
      <w:lvlJc w:val="left"/>
      <w:pPr>
        <w:ind w:left="4680" w:hanging="360"/>
      </w:pPr>
      <w:rPr>
        <w:rFonts w:ascii="Wingdings" w:hAnsi="Wingdings" w:hint="default"/>
      </w:rPr>
    </w:lvl>
    <w:lvl w:ilvl="6" w:tplc="EE525AB4" w:tentative="1">
      <w:start w:val="1"/>
      <w:numFmt w:val="bullet"/>
      <w:lvlText w:val=""/>
      <w:lvlJc w:val="left"/>
      <w:pPr>
        <w:ind w:left="5400" w:hanging="360"/>
      </w:pPr>
      <w:rPr>
        <w:rFonts w:ascii="Symbol" w:hAnsi="Symbol" w:hint="default"/>
      </w:rPr>
    </w:lvl>
    <w:lvl w:ilvl="7" w:tplc="092AF492" w:tentative="1">
      <w:start w:val="1"/>
      <w:numFmt w:val="bullet"/>
      <w:lvlText w:val="o"/>
      <w:lvlJc w:val="left"/>
      <w:pPr>
        <w:ind w:left="6120" w:hanging="360"/>
      </w:pPr>
      <w:rPr>
        <w:rFonts w:ascii="Courier New" w:hAnsi="Courier New" w:cs="Courier New" w:hint="default"/>
      </w:rPr>
    </w:lvl>
    <w:lvl w:ilvl="8" w:tplc="057CB366" w:tentative="1">
      <w:start w:val="1"/>
      <w:numFmt w:val="bullet"/>
      <w:lvlText w:val=""/>
      <w:lvlJc w:val="left"/>
      <w:pPr>
        <w:ind w:left="6840" w:hanging="360"/>
      </w:pPr>
      <w:rPr>
        <w:rFonts w:ascii="Wingdings" w:hAnsi="Wingdings" w:hint="default"/>
      </w:rPr>
    </w:lvl>
  </w:abstractNum>
  <w:abstractNum w:abstractNumId="20" w15:restartNumberingAfterBreak="0">
    <w:nsid w:val="60AE39A4"/>
    <w:multiLevelType w:val="hybridMultilevel"/>
    <w:tmpl w:val="1AEC436C"/>
    <w:lvl w:ilvl="0" w:tplc="C3FC1AF4">
      <w:start w:val="1"/>
      <w:numFmt w:val="bullet"/>
      <w:lvlText w:val=""/>
      <w:lvlJc w:val="left"/>
      <w:pPr>
        <w:ind w:left="1080" w:hanging="360"/>
      </w:pPr>
      <w:rPr>
        <w:rFonts w:ascii="Symbol" w:hAnsi="Symbol" w:hint="default"/>
      </w:rPr>
    </w:lvl>
    <w:lvl w:ilvl="1" w:tplc="75467C3C" w:tentative="1">
      <w:start w:val="1"/>
      <w:numFmt w:val="bullet"/>
      <w:lvlText w:val="o"/>
      <w:lvlJc w:val="left"/>
      <w:pPr>
        <w:ind w:left="1800" w:hanging="360"/>
      </w:pPr>
      <w:rPr>
        <w:rFonts w:ascii="Courier New" w:hAnsi="Courier New" w:cs="Courier New" w:hint="default"/>
      </w:rPr>
    </w:lvl>
    <w:lvl w:ilvl="2" w:tplc="78860B5E" w:tentative="1">
      <w:start w:val="1"/>
      <w:numFmt w:val="bullet"/>
      <w:lvlText w:val=""/>
      <w:lvlJc w:val="left"/>
      <w:pPr>
        <w:ind w:left="2520" w:hanging="360"/>
      </w:pPr>
      <w:rPr>
        <w:rFonts w:ascii="Wingdings" w:hAnsi="Wingdings" w:hint="default"/>
      </w:rPr>
    </w:lvl>
    <w:lvl w:ilvl="3" w:tplc="5980FC76" w:tentative="1">
      <w:start w:val="1"/>
      <w:numFmt w:val="bullet"/>
      <w:lvlText w:val=""/>
      <w:lvlJc w:val="left"/>
      <w:pPr>
        <w:ind w:left="3240" w:hanging="360"/>
      </w:pPr>
      <w:rPr>
        <w:rFonts w:ascii="Symbol" w:hAnsi="Symbol" w:hint="default"/>
      </w:rPr>
    </w:lvl>
    <w:lvl w:ilvl="4" w:tplc="C8AC1398" w:tentative="1">
      <w:start w:val="1"/>
      <w:numFmt w:val="bullet"/>
      <w:lvlText w:val="o"/>
      <w:lvlJc w:val="left"/>
      <w:pPr>
        <w:ind w:left="3960" w:hanging="360"/>
      </w:pPr>
      <w:rPr>
        <w:rFonts w:ascii="Courier New" w:hAnsi="Courier New" w:cs="Courier New" w:hint="default"/>
      </w:rPr>
    </w:lvl>
    <w:lvl w:ilvl="5" w:tplc="EB6ADA3E" w:tentative="1">
      <w:start w:val="1"/>
      <w:numFmt w:val="bullet"/>
      <w:lvlText w:val=""/>
      <w:lvlJc w:val="left"/>
      <w:pPr>
        <w:ind w:left="4680" w:hanging="360"/>
      </w:pPr>
      <w:rPr>
        <w:rFonts w:ascii="Wingdings" w:hAnsi="Wingdings" w:hint="default"/>
      </w:rPr>
    </w:lvl>
    <w:lvl w:ilvl="6" w:tplc="1786EB02" w:tentative="1">
      <w:start w:val="1"/>
      <w:numFmt w:val="bullet"/>
      <w:lvlText w:val=""/>
      <w:lvlJc w:val="left"/>
      <w:pPr>
        <w:ind w:left="5400" w:hanging="360"/>
      </w:pPr>
      <w:rPr>
        <w:rFonts w:ascii="Symbol" w:hAnsi="Symbol" w:hint="default"/>
      </w:rPr>
    </w:lvl>
    <w:lvl w:ilvl="7" w:tplc="5AC00218" w:tentative="1">
      <w:start w:val="1"/>
      <w:numFmt w:val="bullet"/>
      <w:lvlText w:val="o"/>
      <w:lvlJc w:val="left"/>
      <w:pPr>
        <w:ind w:left="6120" w:hanging="360"/>
      </w:pPr>
      <w:rPr>
        <w:rFonts w:ascii="Courier New" w:hAnsi="Courier New" w:cs="Courier New" w:hint="default"/>
      </w:rPr>
    </w:lvl>
    <w:lvl w:ilvl="8" w:tplc="B9B4B950" w:tentative="1">
      <w:start w:val="1"/>
      <w:numFmt w:val="bullet"/>
      <w:lvlText w:val=""/>
      <w:lvlJc w:val="left"/>
      <w:pPr>
        <w:ind w:left="6840" w:hanging="360"/>
      </w:pPr>
      <w:rPr>
        <w:rFonts w:ascii="Wingdings" w:hAnsi="Wingdings" w:hint="default"/>
      </w:rPr>
    </w:lvl>
  </w:abstractNum>
  <w:abstractNum w:abstractNumId="21" w15:restartNumberingAfterBreak="0">
    <w:nsid w:val="60B07A8D"/>
    <w:multiLevelType w:val="hybridMultilevel"/>
    <w:tmpl w:val="C590DC6E"/>
    <w:lvl w:ilvl="0" w:tplc="B1EACB60">
      <w:start w:val="8"/>
      <w:numFmt w:val="decimal"/>
      <w:lvlText w:val="%1."/>
      <w:lvlJc w:val="left"/>
      <w:pPr>
        <w:ind w:left="720" w:hanging="360"/>
      </w:pPr>
      <w:rPr>
        <w:rFonts w:hint="default"/>
      </w:rPr>
    </w:lvl>
    <w:lvl w:ilvl="1" w:tplc="DE0E4444" w:tentative="1">
      <w:start w:val="1"/>
      <w:numFmt w:val="lowerLetter"/>
      <w:lvlText w:val="%2."/>
      <w:lvlJc w:val="left"/>
      <w:pPr>
        <w:ind w:left="1440" w:hanging="360"/>
      </w:pPr>
    </w:lvl>
    <w:lvl w:ilvl="2" w:tplc="452C2C94" w:tentative="1">
      <w:start w:val="1"/>
      <w:numFmt w:val="lowerRoman"/>
      <w:lvlText w:val="%3."/>
      <w:lvlJc w:val="right"/>
      <w:pPr>
        <w:ind w:left="2160" w:hanging="180"/>
      </w:pPr>
    </w:lvl>
    <w:lvl w:ilvl="3" w:tplc="9D02C2AA" w:tentative="1">
      <w:start w:val="1"/>
      <w:numFmt w:val="decimal"/>
      <w:lvlText w:val="%4."/>
      <w:lvlJc w:val="left"/>
      <w:pPr>
        <w:ind w:left="2880" w:hanging="360"/>
      </w:pPr>
    </w:lvl>
    <w:lvl w:ilvl="4" w:tplc="9C2812EC" w:tentative="1">
      <w:start w:val="1"/>
      <w:numFmt w:val="lowerLetter"/>
      <w:lvlText w:val="%5."/>
      <w:lvlJc w:val="left"/>
      <w:pPr>
        <w:ind w:left="3600" w:hanging="360"/>
      </w:pPr>
    </w:lvl>
    <w:lvl w:ilvl="5" w:tplc="513E0872" w:tentative="1">
      <w:start w:val="1"/>
      <w:numFmt w:val="lowerRoman"/>
      <w:lvlText w:val="%6."/>
      <w:lvlJc w:val="right"/>
      <w:pPr>
        <w:ind w:left="4320" w:hanging="180"/>
      </w:pPr>
    </w:lvl>
    <w:lvl w:ilvl="6" w:tplc="43A6A978" w:tentative="1">
      <w:start w:val="1"/>
      <w:numFmt w:val="decimal"/>
      <w:lvlText w:val="%7."/>
      <w:lvlJc w:val="left"/>
      <w:pPr>
        <w:ind w:left="5040" w:hanging="360"/>
      </w:pPr>
    </w:lvl>
    <w:lvl w:ilvl="7" w:tplc="E9A601F8" w:tentative="1">
      <w:start w:val="1"/>
      <w:numFmt w:val="lowerLetter"/>
      <w:lvlText w:val="%8."/>
      <w:lvlJc w:val="left"/>
      <w:pPr>
        <w:ind w:left="5760" w:hanging="360"/>
      </w:pPr>
    </w:lvl>
    <w:lvl w:ilvl="8" w:tplc="C940477C" w:tentative="1">
      <w:start w:val="1"/>
      <w:numFmt w:val="lowerRoman"/>
      <w:lvlText w:val="%9."/>
      <w:lvlJc w:val="right"/>
      <w:pPr>
        <w:ind w:left="6480" w:hanging="180"/>
      </w:pPr>
    </w:lvl>
  </w:abstractNum>
  <w:abstractNum w:abstractNumId="22" w15:restartNumberingAfterBreak="0">
    <w:nsid w:val="638A73FB"/>
    <w:multiLevelType w:val="hybridMultilevel"/>
    <w:tmpl w:val="510A6B0E"/>
    <w:lvl w:ilvl="0" w:tplc="2148158C">
      <w:start w:val="1"/>
      <w:numFmt w:val="bullet"/>
      <w:lvlText w:val=""/>
      <w:lvlJc w:val="left"/>
      <w:pPr>
        <w:ind w:left="1080" w:hanging="360"/>
      </w:pPr>
      <w:rPr>
        <w:rFonts w:ascii="Symbol" w:hAnsi="Symbol" w:hint="default"/>
      </w:rPr>
    </w:lvl>
    <w:lvl w:ilvl="1" w:tplc="201C40B0" w:tentative="1">
      <w:start w:val="1"/>
      <w:numFmt w:val="bullet"/>
      <w:lvlText w:val="o"/>
      <w:lvlJc w:val="left"/>
      <w:pPr>
        <w:ind w:left="1800" w:hanging="360"/>
      </w:pPr>
      <w:rPr>
        <w:rFonts w:ascii="Courier New" w:hAnsi="Courier New" w:cs="Courier New" w:hint="default"/>
      </w:rPr>
    </w:lvl>
    <w:lvl w:ilvl="2" w:tplc="164CBE76" w:tentative="1">
      <w:start w:val="1"/>
      <w:numFmt w:val="bullet"/>
      <w:lvlText w:val=""/>
      <w:lvlJc w:val="left"/>
      <w:pPr>
        <w:ind w:left="2520" w:hanging="360"/>
      </w:pPr>
      <w:rPr>
        <w:rFonts w:ascii="Wingdings" w:hAnsi="Wingdings" w:hint="default"/>
      </w:rPr>
    </w:lvl>
    <w:lvl w:ilvl="3" w:tplc="28B2A72C" w:tentative="1">
      <w:start w:val="1"/>
      <w:numFmt w:val="bullet"/>
      <w:lvlText w:val=""/>
      <w:lvlJc w:val="left"/>
      <w:pPr>
        <w:ind w:left="3240" w:hanging="360"/>
      </w:pPr>
      <w:rPr>
        <w:rFonts w:ascii="Symbol" w:hAnsi="Symbol" w:hint="default"/>
      </w:rPr>
    </w:lvl>
    <w:lvl w:ilvl="4" w:tplc="DC0A00F0" w:tentative="1">
      <w:start w:val="1"/>
      <w:numFmt w:val="bullet"/>
      <w:lvlText w:val="o"/>
      <w:lvlJc w:val="left"/>
      <w:pPr>
        <w:ind w:left="3960" w:hanging="360"/>
      </w:pPr>
      <w:rPr>
        <w:rFonts w:ascii="Courier New" w:hAnsi="Courier New" w:cs="Courier New" w:hint="default"/>
      </w:rPr>
    </w:lvl>
    <w:lvl w:ilvl="5" w:tplc="7186AC1A" w:tentative="1">
      <w:start w:val="1"/>
      <w:numFmt w:val="bullet"/>
      <w:lvlText w:val=""/>
      <w:lvlJc w:val="left"/>
      <w:pPr>
        <w:ind w:left="4680" w:hanging="360"/>
      </w:pPr>
      <w:rPr>
        <w:rFonts w:ascii="Wingdings" w:hAnsi="Wingdings" w:hint="default"/>
      </w:rPr>
    </w:lvl>
    <w:lvl w:ilvl="6" w:tplc="00DEB3F8" w:tentative="1">
      <w:start w:val="1"/>
      <w:numFmt w:val="bullet"/>
      <w:lvlText w:val=""/>
      <w:lvlJc w:val="left"/>
      <w:pPr>
        <w:ind w:left="5400" w:hanging="360"/>
      </w:pPr>
      <w:rPr>
        <w:rFonts w:ascii="Symbol" w:hAnsi="Symbol" w:hint="default"/>
      </w:rPr>
    </w:lvl>
    <w:lvl w:ilvl="7" w:tplc="CB8429B6" w:tentative="1">
      <w:start w:val="1"/>
      <w:numFmt w:val="bullet"/>
      <w:lvlText w:val="o"/>
      <w:lvlJc w:val="left"/>
      <w:pPr>
        <w:ind w:left="6120" w:hanging="360"/>
      </w:pPr>
      <w:rPr>
        <w:rFonts w:ascii="Courier New" w:hAnsi="Courier New" w:cs="Courier New" w:hint="default"/>
      </w:rPr>
    </w:lvl>
    <w:lvl w:ilvl="8" w:tplc="8DE64D72" w:tentative="1">
      <w:start w:val="1"/>
      <w:numFmt w:val="bullet"/>
      <w:lvlText w:val=""/>
      <w:lvlJc w:val="left"/>
      <w:pPr>
        <w:ind w:left="6840" w:hanging="360"/>
      </w:pPr>
      <w:rPr>
        <w:rFonts w:ascii="Wingdings" w:hAnsi="Wingdings" w:hint="default"/>
      </w:rPr>
    </w:lvl>
  </w:abstractNum>
  <w:abstractNum w:abstractNumId="23" w15:restartNumberingAfterBreak="0">
    <w:nsid w:val="6F655508"/>
    <w:multiLevelType w:val="hybridMultilevel"/>
    <w:tmpl w:val="A3100930"/>
    <w:lvl w:ilvl="0" w:tplc="046845D8">
      <w:start w:val="1"/>
      <w:numFmt w:val="bullet"/>
      <w:lvlText w:val=""/>
      <w:lvlJc w:val="left"/>
      <w:pPr>
        <w:ind w:left="1080" w:hanging="360"/>
      </w:pPr>
      <w:rPr>
        <w:rFonts w:ascii="Symbol" w:hAnsi="Symbol" w:hint="default"/>
      </w:rPr>
    </w:lvl>
    <w:lvl w:ilvl="1" w:tplc="CA4443C6" w:tentative="1">
      <w:start w:val="1"/>
      <w:numFmt w:val="bullet"/>
      <w:lvlText w:val="o"/>
      <w:lvlJc w:val="left"/>
      <w:pPr>
        <w:ind w:left="1800" w:hanging="360"/>
      </w:pPr>
      <w:rPr>
        <w:rFonts w:ascii="Courier New" w:hAnsi="Courier New" w:cs="Courier New" w:hint="default"/>
      </w:rPr>
    </w:lvl>
    <w:lvl w:ilvl="2" w:tplc="50ECF32A" w:tentative="1">
      <w:start w:val="1"/>
      <w:numFmt w:val="bullet"/>
      <w:lvlText w:val=""/>
      <w:lvlJc w:val="left"/>
      <w:pPr>
        <w:ind w:left="2520" w:hanging="360"/>
      </w:pPr>
      <w:rPr>
        <w:rFonts w:ascii="Wingdings" w:hAnsi="Wingdings" w:hint="default"/>
      </w:rPr>
    </w:lvl>
    <w:lvl w:ilvl="3" w:tplc="13E4971E" w:tentative="1">
      <w:start w:val="1"/>
      <w:numFmt w:val="bullet"/>
      <w:lvlText w:val=""/>
      <w:lvlJc w:val="left"/>
      <w:pPr>
        <w:ind w:left="3240" w:hanging="360"/>
      </w:pPr>
      <w:rPr>
        <w:rFonts w:ascii="Symbol" w:hAnsi="Symbol" w:hint="default"/>
      </w:rPr>
    </w:lvl>
    <w:lvl w:ilvl="4" w:tplc="D5BC050A" w:tentative="1">
      <w:start w:val="1"/>
      <w:numFmt w:val="bullet"/>
      <w:lvlText w:val="o"/>
      <w:lvlJc w:val="left"/>
      <w:pPr>
        <w:ind w:left="3960" w:hanging="360"/>
      </w:pPr>
      <w:rPr>
        <w:rFonts w:ascii="Courier New" w:hAnsi="Courier New" w:cs="Courier New" w:hint="default"/>
      </w:rPr>
    </w:lvl>
    <w:lvl w:ilvl="5" w:tplc="88CEC9F2" w:tentative="1">
      <w:start w:val="1"/>
      <w:numFmt w:val="bullet"/>
      <w:lvlText w:val=""/>
      <w:lvlJc w:val="left"/>
      <w:pPr>
        <w:ind w:left="4680" w:hanging="360"/>
      </w:pPr>
      <w:rPr>
        <w:rFonts w:ascii="Wingdings" w:hAnsi="Wingdings" w:hint="default"/>
      </w:rPr>
    </w:lvl>
    <w:lvl w:ilvl="6" w:tplc="DE4496D2" w:tentative="1">
      <w:start w:val="1"/>
      <w:numFmt w:val="bullet"/>
      <w:lvlText w:val=""/>
      <w:lvlJc w:val="left"/>
      <w:pPr>
        <w:ind w:left="5400" w:hanging="360"/>
      </w:pPr>
      <w:rPr>
        <w:rFonts w:ascii="Symbol" w:hAnsi="Symbol" w:hint="default"/>
      </w:rPr>
    </w:lvl>
    <w:lvl w:ilvl="7" w:tplc="8FFAFB2E" w:tentative="1">
      <w:start w:val="1"/>
      <w:numFmt w:val="bullet"/>
      <w:lvlText w:val="o"/>
      <w:lvlJc w:val="left"/>
      <w:pPr>
        <w:ind w:left="6120" w:hanging="360"/>
      </w:pPr>
      <w:rPr>
        <w:rFonts w:ascii="Courier New" w:hAnsi="Courier New" w:cs="Courier New" w:hint="default"/>
      </w:rPr>
    </w:lvl>
    <w:lvl w:ilvl="8" w:tplc="9A2E4C62" w:tentative="1">
      <w:start w:val="1"/>
      <w:numFmt w:val="bullet"/>
      <w:lvlText w:val=""/>
      <w:lvlJc w:val="left"/>
      <w:pPr>
        <w:ind w:left="6840" w:hanging="360"/>
      </w:pPr>
      <w:rPr>
        <w:rFonts w:ascii="Wingdings" w:hAnsi="Wingdings" w:hint="default"/>
      </w:rPr>
    </w:lvl>
  </w:abstractNum>
  <w:abstractNum w:abstractNumId="24" w15:restartNumberingAfterBreak="0">
    <w:nsid w:val="6F695034"/>
    <w:multiLevelType w:val="hybridMultilevel"/>
    <w:tmpl w:val="13A60B92"/>
    <w:lvl w:ilvl="0" w:tplc="906AAC40">
      <w:start w:val="1"/>
      <w:numFmt w:val="decimal"/>
      <w:lvlText w:val="%1)"/>
      <w:lvlJc w:val="left"/>
      <w:pPr>
        <w:ind w:left="720" w:hanging="360"/>
      </w:pPr>
      <w:rPr>
        <w:rFonts w:hint="default"/>
        <w:b w:val="0"/>
        <w:bCs/>
      </w:rPr>
    </w:lvl>
    <w:lvl w:ilvl="1" w:tplc="C930BE98">
      <w:start w:val="1"/>
      <w:numFmt w:val="lowerLetter"/>
      <w:lvlText w:val="%2."/>
      <w:lvlJc w:val="left"/>
      <w:pPr>
        <w:ind w:left="1440" w:hanging="360"/>
      </w:pPr>
    </w:lvl>
    <w:lvl w:ilvl="2" w:tplc="4AB68E66" w:tentative="1">
      <w:start w:val="1"/>
      <w:numFmt w:val="lowerRoman"/>
      <w:lvlText w:val="%3."/>
      <w:lvlJc w:val="right"/>
      <w:pPr>
        <w:ind w:left="2160" w:hanging="180"/>
      </w:pPr>
    </w:lvl>
    <w:lvl w:ilvl="3" w:tplc="4F5E2C88" w:tentative="1">
      <w:start w:val="1"/>
      <w:numFmt w:val="decimal"/>
      <w:lvlText w:val="%4."/>
      <w:lvlJc w:val="left"/>
      <w:pPr>
        <w:ind w:left="2880" w:hanging="360"/>
      </w:pPr>
    </w:lvl>
    <w:lvl w:ilvl="4" w:tplc="ACACE61E" w:tentative="1">
      <w:start w:val="1"/>
      <w:numFmt w:val="lowerLetter"/>
      <w:lvlText w:val="%5."/>
      <w:lvlJc w:val="left"/>
      <w:pPr>
        <w:ind w:left="3600" w:hanging="360"/>
      </w:pPr>
    </w:lvl>
    <w:lvl w:ilvl="5" w:tplc="BD32C966" w:tentative="1">
      <w:start w:val="1"/>
      <w:numFmt w:val="lowerRoman"/>
      <w:lvlText w:val="%6."/>
      <w:lvlJc w:val="right"/>
      <w:pPr>
        <w:ind w:left="4320" w:hanging="180"/>
      </w:pPr>
    </w:lvl>
    <w:lvl w:ilvl="6" w:tplc="F83C98A4" w:tentative="1">
      <w:start w:val="1"/>
      <w:numFmt w:val="decimal"/>
      <w:lvlText w:val="%7."/>
      <w:lvlJc w:val="left"/>
      <w:pPr>
        <w:ind w:left="5040" w:hanging="360"/>
      </w:pPr>
    </w:lvl>
    <w:lvl w:ilvl="7" w:tplc="5BAC2940" w:tentative="1">
      <w:start w:val="1"/>
      <w:numFmt w:val="lowerLetter"/>
      <w:lvlText w:val="%8."/>
      <w:lvlJc w:val="left"/>
      <w:pPr>
        <w:ind w:left="5760" w:hanging="360"/>
      </w:pPr>
    </w:lvl>
    <w:lvl w:ilvl="8" w:tplc="FBA47DC6" w:tentative="1">
      <w:start w:val="1"/>
      <w:numFmt w:val="lowerRoman"/>
      <w:lvlText w:val="%9."/>
      <w:lvlJc w:val="right"/>
      <w:pPr>
        <w:ind w:left="6480" w:hanging="180"/>
      </w:pPr>
    </w:lvl>
  </w:abstractNum>
  <w:abstractNum w:abstractNumId="25" w15:restartNumberingAfterBreak="0">
    <w:nsid w:val="700C3AB9"/>
    <w:multiLevelType w:val="hybridMultilevel"/>
    <w:tmpl w:val="1AA8078E"/>
    <w:lvl w:ilvl="0" w:tplc="DF12620C">
      <w:start w:val="1"/>
      <w:numFmt w:val="decimal"/>
      <w:lvlText w:val="%1."/>
      <w:lvlJc w:val="left"/>
      <w:pPr>
        <w:ind w:left="720" w:hanging="360"/>
      </w:pPr>
      <w:rPr>
        <w:rFonts w:hint="default"/>
      </w:rPr>
    </w:lvl>
    <w:lvl w:ilvl="1" w:tplc="F9AA949C" w:tentative="1">
      <w:start w:val="1"/>
      <w:numFmt w:val="lowerLetter"/>
      <w:lvlText w:val="%2."/>
      <w:lvlJc w:val="left"/>
      <w:pPr>
        <w:ind w:left="1440" w:hanging="360"/>
      </w:pPr>
    </w:lvl>
    <w:lvl w:ilvl="2" w:tplc="A58EB532" w:tentative="1">
      <w:start w:val="1"/>
      <w:numFmt w:val="lowerRoman"/>
      <w:lvlText w:val="%3."/>
      <w:lvlJc w:val="right"/>
      <w:pPr>
        <w:ind w:left="2160" w:hanging="180"/>
      </w:pPr>
    </w:lvl>
    <w:lvl w:ilvl="3" w:tplc="D8F4A930" w:tentative="1">
      <w:start w:val="1"/>
      <w:numFmt w:val="decimal"/>
      <w:lvlText w:val="%4."/>
      <w:lvlJc w:val="left"/>
      <w:pPr>
        <w:ind w:left="2880" w:hanging="360"/>
      </w:pPr>
    </w:lvl>
    <w:lvl w:ilvl="4" w:tplc="0776947E" w:tentative="1">
      <w:start w:val="1"/>
      <w:numFmt w:val="lowerLetter"/>
      <w:lvlText w:val="%5."/>
      <w:lvlJc w:val="left"/>
      <w:pPr>
        <w:ind w:left="3600" w:hanging="360"/>
      </w:pPr>
    </w:lvl>
    <w:lvl w:ilvl="5" w:tplc="42400CEA" w:tentative="1">
      <w:start w:val="1"/>
      <w:numFmt w:val="lowerRoman"/>
      <w:lvlText w:val="%6."/>
      <w:lvlJc w:val="right"/>
      <w:pPr>
        <w:ind w:left="4320" w:hanging="180"/>
      </w:pPr>
    </w:lvl>
    <w:lvl w:ilvl="6" w:tplc="BE5EA794" w:tentative="1">
      <w:start w:val="1"/>
      <w:numFmt w:val="decimal"/>
      <w:lvlText w:val="%7."/>
      <w:lvlJc w:val="left"/>
      <w:pPr>
        <w:ind w:left="5040" w:hanging="360"/>
      </w:pPr>
    </w:lvl>
    <w:lvl w:ilvl="7" w:tplc="6A969A70" w:tentative="1">
      <w:start w:val="1"/>
      <w:numFmt w:val="lowerLetter"/>
      <w:lvlText w:val="%8."/>
      <w:lvlJc w:val="left"/>
      <w:pPr>
        <w:ind w:left="5760" w:hanging="360"/>
      </w:pPr>
    </w:lvl>
    <w:lvl w:ilvl="8" w:tplc="57B8C344" w:tentative="1">
      <w:start w:val="1"/>
      <w:numFmt w:val="lowerRoman"/>
      <w:lvlText w:val="%9."/>
      <w:lvlJc w:val="right"/>
      <w:pPr>
        <w:ind w:left="6480" w:hanging="180"/>
      </w:pPr>
    </w:lvl>
  </w:abstractNum>
  <w:abstractNum w:abstractNumId="26" w15:restartNumberingAfterBreak="0">
    <w:nsid w:val="71231E85"/>
    <w:multiLevelType w:val="hybridMultilevel"/>
    <w:tmpl w:val="1DB2AA54"/>
    <w:lvl w:ilvl="0" w:tplc="4DFE7C4C">
      <w:start w:val="1"/>
      <w:numFmt w:val="bullet"/>
      <w:lvlText w:val=""/>
      <w:lvlJc w:val="left"/>
      <w:pPr>
        <w:ind w:left="1080" w:hanging="360"/>
      </w:pPr>
      <w:rPr>
        <w:rFonts w:ascii="Symbol" w:hAnsi="Symbol" w:hint="default"/>
      </w:rPr>
    </w:lvl>
    <w:lvl w:ilvl="1" w:tplc="DDCEA416" w:tentative="1">
      <w:start w:val="1"/>
      <w:numFmt w:val="bullet"/>
      <w:lvlText w:val="o"/>
      <w:lvlJc w:val="left"/>
      <w:pPr>
        <w:ind w:left="1800" w:hanging="360"/>
      </w:pPr>
      <w:rPr>
        <w:rFonts w:ascii="Courier New" w:hAnsi="Courier New" w:cs="Courier New" w:hint="default"/>
      </w:rPr>
    </w:lvl>
    <w:lvl w:ilvl="2" w:tplc="809A20C6" w:tentative="1">
      <w:start w:val="1"/>
      <w:numFmt w:val="bullet"/>
      <w:lvlText w:val=""/>
      <w:lvlJc w:val="left"/>
      <w:pPr>
        <w:ind w:left="2520" w:hanging="360"/>
      </w:pPr>
      <w:rPr>
        <w:rFonts w:ascii="Wingdings" w:hAnsi="Wingdings" w:hint="default"/>
      </w:rPr>
    </w:lvl>
    <w:lvl w:ilvl="3" w:tplc="B540F2F8" w:tentative="1">
      <w:start w:val="1"/>
      <w:numFmt w:val="bullet"/>
      <w:lvlText w:val=""/>
      <w:lvlJc w:val="left"/>
      <w:pPr>
        <w:ind w:left="3240" w:hanging="360"/>
      </w:pPr>
      <w:rPr>
        <w:rFonts w:ascii="Symbol" w:hAnsi="Symbol" w:hint="default"/>
      </w:rPr>
    </w:lvl>
    <w:lvl w:ilvl="4" w:tplc="94EC8E8A" w:tentative="1">
      <w:start w:val="1"/>
      <w:numFmt w:val="bullet"/>
      <w:lvlText w:val="o"/>
      <w:lvlJc w:val="left"/>
      <w:pPr>
        <w:ind w:left="3960" w:hanging="360"/>
      </w:pPr>
      <w:rPr>
        <w:rFonts w:ascii="Courier New" w:hAnsi="Courier New" w:cs="Courier New" w:hint="default"/>
      </w:rPr>
    </w:lvl>
    <w:lvl w:ilvl="5" w:tplc="D9263476" w:tentative="1">
      <w:start w:val="1"/>
      <w:numFmt w:val="bullet"/>
      <w:lvlText w:val=""/>
      <w:lvlJc w:val="left"/>
      <w:pPr>
        <w:ind w:left="4680" w:hanging="360"/>
      </w:pPr>
      <w:rPr>
        <w:rFonts w:ascii="Wingdings" w:hAnsi="Wingdings" w:hint="default"/>
      </w:rPr>
    </w:lvl>
    <w:lvl w:ilvl="6" w:tplc="106A036E" w:tentative="1">
      <w:start w:val="1"/>
      <w:numFmt w:val="bullet"/>
      <w:lvlText w:val=""/>
      <w:lvlJc w:val="left"/>
      <w:pPr>
        <w:ind w:left="5400" w:hanging="360"/>
      </w:pPr>
      <w:rPr>
        <w:rFonts w:ascii="Symbol" w:hAnsi="Symbol" w:hint="default"/>
      </w:rPr>
    </w:lvl>
    <w:lvl w:ilvl="7" w:tplc="F1E47272" w:tentative="1">
      <w:start w:val="1"/>
      <w:numFmt w:val="bullet"/>
      <w:lvlText w:val="o"/>
      <w:lvlJc w:val="left"/>
      <w:pPr>
        <w:ind w:left="6120" w:hanging="360"/>
      </w:pPr>
      <w:rPr>
        <w:rFonts w:ascii="Courier New" w:hAnsi="Courier New" w:cs="Courier New" w:hint="default"/>
      </w:rPr>
    </w:lvl>
    <w:lvl w:ilvl="8" w:tplc="08644AD8" w:tentative="1">
      <w:start w:val="1"/>
      <w:numFmt w:val="bullet"/>
      <w:lvlText w:val=""/>
      <w:lvlJc w:val="left"/>
      <w:pPr>
        <w:ind w:left="6840" w:hanging="360"/>
      </w:pPr>
      <w:rPr>
        <w:rFonts w:ascii="Wingdings" w:hAnsi="Wingdings" w:hint="default"/>
      </w:rPr>
    </w:lvl>
  </w:abstractNum>
  <w:abstractNum w:abstractNumId="27" w15:restartNumberingAfterBreak="0">
    <w:nsid w:val="72DA5953"/>
    <w:multiLevelType w:val="hybridMultilevel"/>
    <w:tmpl w:val="09D214B0"/>
    <w:lvl w:ilvl="0" w:tplc="3DFE8FC6">
      <w:start w:val="1"/>
      <w:numFmt w:val="decimal"/>
      <w:lvlText w:val="%1."/>
      <w:lvlJc w:val="left"/>
      <w:pPr>
        <w:ind w:left="1080" w:hanging="360"/>
      </w:pPr>
      <w:rPr>
        <w:rFonts w:hint="default"/>
      </w:rPr>
    </w:lvl>
    <w:lvl w:ilvl="1" w:tplc="42869708">
      <w:start w:val="1"/>
      <w:numFmt w:val="lowerLetter"/>
      <w:lvlText w:val="%2."/>
      <w:lvlJc w:val="left"/>
      <w:pPr>
        <w:ind w:left="1800" w:hanging="360"/>
      </w:pPr>
    </w:lvl>
    <w:lvl w:ilvl="2" w:tplc="78CED4F0" w:tentative="1">
      <w:start w:val="1"/>
      <w:numFmt w:val="lowerRoman"/>
      <w:lvlText w:val="%3."/>
      <w:lvlJc w:val="right"/>
      <w:pPr>
        <w:ind w:left="2520" w:hanging="180"/>
      </w:pPr>
    </w:lvl>
    <w:lvl w:ilvl="3" w:tplc="7924DED8" w:tentative="1">
      <w:start w:val="1"/>
      <w:numFmt w:val="decimal"/>
      <w:lvlText w:val="%4."/>
      <w:lvlJc w:val="left"/>
      <w:pPr>
        <w:ind w:left="3240" w:hanging="360"/>
      </w:pPr>
    </w:lvl>
    <w:lvl w:ilvl="4" w:tplc="900CC6EC" w:tentative="1">
      <w:start w:val="1"/>
      <w:numFmt w:val="lowerLetter"/>
      <w:lvlText w:val="%5."/>
      <w:lvlJc w:val="left"/>
      <w:pPr>
        <w:ind w:left="3960" w:hanging="360"/>
      </w:pPr>
    </w:lvl>
    <w:lvl w:ilvl="5" w:tplc="C53AD30C" w:tentative="1">
      <w:start w:val="1"/>
      <w:numFmt w:val="lowerRoman"/>
      <w:lvlText w:val="%6."/>
      <w:lvlJc w:val="right"/>
      <w:pPr>
        <w:ind w:left="4680" w:hanging="180"/>
      </w:pPr>
    </w:lvl>
    <w:lvl w:ilvl="6" w:tplc="09F69E9E" w:tentative="1">
      <w:start w:val="1"/>
      <w:numFmt w:val="decimal"/>
      <w:lvlText w:val="%7."/>
      <w:lvlJc w:val="left"/>
      <w:pPr>
        <w:ind w:left="5400" w:hanging="360"/>
      </w:pPr>
    </w:lvl>
    <w:lvl w:ilvl="7" w:tplc="B6185CAC" w:tentative="1">
      <w:start w:val="1"/>
      <w:numFmt w:val="lowerLetter"/>
      <w:lvlText w:val="%8."/>
      <w:lvlJc w:val="left"/>
      <w:pPr>
        <w:ind w:left="6120" w:hanging="360"/>
      </w:pPr>
    </w:lvl>
    <w:lvl w:ilvl="8" w:tplc="8642F7AA" w:tentative="1">
      <w:start w:val="1"/>
      <w:numFmt w:val="lowerRoman"/>
      <w:lvlText w:val="%9."/>
      <w:lvlJc w:val="right"/>
      <w:pPr>
        <w:ind w:left="6840" w:hanging="180"/>
      </w:pPr>
    </w:lvl>
  </w:abstractNum>
  <w:abstractNum w:abstractNumId="28" w15:restartNumberingAfterBreak="0">
    <w:nsid w:val="74221827"/>
    <w:multiLevelType w:val="hybridMultilevel"/>
    <w:tmpl w:val="2CE22FF6"/>
    <w:lvl w:ilvl="0" w:tplc="B434DCF4">
      <w:start w:val="1"/>
      <w:numFmt w:val="decimal"/>
      <w:pStyle w:val="Heading2"/>
      <w:lvlText w:val="%1."/>
      <w:lvlJc w:val="left"/>
      <w:pPr>
        <w:ind w:left="720" w:hanging="360"/>
      </w:pPr>
      <w:rPr>
        <w:rFonts w:hint="default"/>
      </w:rPr>
    </w:lvl>
    <w:lvl w:ilvl="1" w:tplc="165E5AA4" w:tentative="1">
      <w:start w:val="1"/>
      <w:numFmt w:val="lowerLetter"/>
      <w:lvlText w:val="%2."/>
      <w:lvlJc w:val="left"/>
      <w:pPr>
        <w:ind w:left="1440" w:hanging="360"/>
      </w:pPr>
    </w:lvl>
    <w:lvl w:ilvl="2" w:tplc="A04E385C" w:tentative="1">
      <w:start w:val="1"/>
      <w:numFmt w:val="lowerRoman"/>
      <w:lvlText w:val="%3."/>
      <w:lvlJc w:val="right"/>
      <w:pPr>
        <w:ind w:left="2160" w:hanging="180"/>
      </w:pPr>
    </w:lvl>
    <w:lvl w:ilvl="3" w:tplc="894A68EC" w:tentative="1">
      <w:start w:val="1"/>
      <w:numFmt w:val="decimal"/>
      <w:lvlText w:val="%4."/>
      <w:lvlJc w:val="left"/>
      <w:pPr>
        <w:ind w:left="2880" w:hanging="360"/>
      </w:pPr>
    </w:lvl>
    <w:lvl w:ilvl="4" w:tplc="7DBC3C80" w:tentative="1">
      <w:start w:val="1"/>
      <w:numFmt w:val="lowerLetter"/>
      <w:lvlText w:val="%5."/>
      <w:lvlJc w:val="left"/>
      <w:pPr>
        <w:ind w:left="3600" w:hanging="360"/>
      </w:pPr>
    </w:lvl>
    <w:lvl w:ilvl="5" w:tplc="84FAD8F6" w:tentative="1">
      <w:start w:val="1"/>
      <w:numFmt w:val="lowerRoman"/>
      <w:lvlText w:val="%6."/>
      <w:lvlJc w:val="right"/>
      <w:pPr>
        <w:ind w:left="4320" w:hanging="180"/>
      </w:pPr>
    </w:lvl>
    <w:lvl w:ilvl="6" w:tplc="FCD4FA0E" w:tentative="1">
      <w:start w:val="1"/>
      <w:numFmt w:val="decimal"/>
      <w:lvlText w:val="%7."/>
      <w:lvlJc w:val="left"/>
      <w:pPr>
        <w:ind w:left="5040" w:hanging="360"/>
      </w:pPr>
    </w:lvl>
    <w:lvl w:ilvl="7" w:tplc="9140B3D0" w:tentative="1">
      <w:start w:val="1"/>
      <w:numFmt w:val="lowerLetter"/>
      <w:lvlText w:val="%8."/>
      <w:lvlJc w:val="left"/>
      <w:pPr>
        <w:ind w:left="5760" w:hanging="360"/>
      </w:pPr>
    </w:lvl>
    <w:lvl w:ilvl="8" w:tplc="E6C00322" w:tentative="1">
      <w:start w:val="1"/>
      <w:numFmt w:val="lowerRoman"/>
      <w:lvlText w:val="%9."/>
      <w:lvlJc w:val="right"/>
      <w:pPr>
        <w:ind w:left="6480" w:hanging="180"/>
      </w:pPr>
    </w:lvl>
  </w:abstractNum>
  <w:abstractNum w:abstractNumId="29" w15:restartNumberingAfterBreak="0">
    <w:nsid w:val="766306BC"/>
    <w:multiLevelType w:val="hybridMultilevel"/>
    <w:tmpl w:val="1FECF8E2"/>
    <w:lvl w:ilvl="0" w:tplc="1722EB16">
      <w:start w:val="7"/>
      <w:numFmt w:val="decimal"/>
      <w:lvlText w:val="%1."/>
      <w:lvlJc w:val="left"/>
      <w:pPr>
        <w:ind w:left="1080" w:hanging="360"/>
      </w:pPr>
      <w:rPr>
        <w:rFonts w:hint="default"/>
      </w:rPr>
    </w:lvl>
    <w:lvl w:ilvl="1" w:tplc="54B8A718" w:tentative="1">
      <w:start w:val="1"/>
      <w:numFmt w:val="lowerLetter"/>
      <w:lvlText w:val="%2."/>
      <w:lvlJc w:val="left"/>
      <w:pPr>
        <w:ind w:left="1440" w:hanging="360"/>
      </w:pPr>
    </w:lvl>
    <w:lvl w:ilvl="2" w:tplc="B1C2E98A" w:tentative="1">
      <w:start w:val="1"/>
      <w:numFmt w:val="lowerRoman"/>
      <w:lvlText w:val="%3."/>
      <w:lvlJc w:val="right"/>
      <w:pPr>
        <w:ind w:left="2160" w:hanging="180"/>
      </w:pPr>
    </w:lvl>
    <w:lvl w:ilvl="3" w:tplc="E7065290" w:tentative="1">
      <w:start w:val="1"/>
      <w:numFmt w:val="decimal"/>
      <w:lvlText w:val="%4."/>
      <w:lvlJc w:val="left"/>
      <w:pPr>
        <w:ind w:left="2880" w:hanging="360"/>
      </w:pPr>
    </w:lvl>
    <w:lvl w:ilvl="4" w:tplc="CBB0AF78" w:tentative="1">
      <w:start w:val="1"/>
      <w:numFmt w:val="lowerLetter"/>
      <w:lvlText w:val="%5."/>
      <w:lvlJc w:val="left"/>
      <w:pPr>
        <w:ind w:left="3600" w:hanging="360"/>
      </w:pPr>
    </w:lvl>
    <w:lvl w:ilvl="5" w:tplc="1DD02AE6" w:tentative="1">
      <w:start w:val="1"/>
      <w:numFmt w:val="lowerRoman"/>
      <w:lvlText w:val="%6."/>
      <w:lvlJc w:val="right"/>
      <w:pPr>
        <w:ind w:left="4320" w:hanging="180"/>
      </w:pPr>
    </w:lvl>
    <w:lvl w:ilvl="6" w:tplc="15305606" w:tentative="1">
      <w:start w:val="1"/>
      <w:numFmt w:val="decimal"/>
      <w:lvlText w:val="%7."/>
      <w:lvlJc w:val="left"/>
      <w:pPr>
        <w:ind w:left="5040" w:hanging="360"/>
      </w:pPr>
    </w:lvl>
    <w:lvl w:ilvl="7" w:tplc="8F147EF2" w:tentative="1">
      <w:start w:val="1"/>
      <w:numFmt w:val="lowerLetter"/>
      <w:lvlText w:val="%8."/>
      <w:lvlJc w:val="left"/>
      <w:pPr>
        <w:ind w:left="5760" w:hanging="360"/>
      </w:pPr>
    </w:lvl>
    <w:lvl w:ilvl="8" w:tplc="71066EBA" w:tentative="1">
      <w:start w:val="1"/>
      <w:numFmt w:val="lowerRoman"/>
      <w:lvlText w:val="%9."/>
      <w:lvlJc w:val="right"/>
      <w:pPr>
        <w:ind w:left="6480" w:hanging="180"/>
      </w:pPr>
    </w:lvl>
  </w:abstractNum>
  <w:abstractNum w:abstractNumId="30" w15:restartNumberingAfterBreak="0">
    <w:nsid w:val="77D03FC5"/>
    <w:multiLevelType w:val="multilevel"/>
    <w:tmpl w:val="544694EA"/>
    <w:lvl w:ilvl="0">
      <w:start w:val="1"/>
      <w:numFmt w:val="decimal"/>
      <w:pStyle w:val="UBBrand-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8965525"/>
    <w:multiLevelType w:val="hybridMultilevel"/>
    <w:tmpl w:val="242E4114"/>
    <w:lvl w:ilvl="0" w:tplc="FF2CF0C4">
      <w:start w:val="7"/>
      <w:numFmt w:val="decimal"/>
      <w:lvlText w:val="%1."/>
      <w:lvlJc w:val="left"/>
      <w:pPr>
        <w:ind w:left="720" w:hanging="360"/>
      </w:pPr>
      <w:rPr>
        <w:rFonts w:hint="default"/>
      </w:rPr>
    </w:lvl>
    <w:lvl w:ilvl="1" w:tplc="381ABD7E" w:tentative="1">
      <w:start w:val="1"/>
      <w:numFmt w:val="lowerLetter"/>
      <w:lvlText w:val="%2."/>
      <w:lvlJc w:val="left"/>
      <w:pPr>
        <w:ind w:left="1440" w:hanging="360"/>
      </w:pPr>
    </w:lvl>
    <w:lvl w:ilvl="2" w:tplc="1AFA485E" w:tentative="1">
      <w:start w:val="1"/>
      <w:numFmt w:val="lowerRoman"/>
      <w:lvlText w:val="%3."/>
      <w:lvlJc w:val="right"/>
      <w:pPr>
        <w:ind w:left="2160" w:hanging="180"/>
      </w:pPr>
    </w:lvl>
    <w:lvl w:ilvl="3" w:tplc="B9684614" w:tentative="1">
      <w:start w:val="1"/>
      <w:numFmt w:val="decimal"/>
      <w:lvlText w:val="%4."/>
      <w:lvlJc w:val="left"/>
      <w:pPr>
        <w:ind w:left="2880" w:hanging="360"/>
      </w:pPr>
    </w:lvl>
    <w:lvl w:ilvl="4" w:tplc="C3A2D9EE" w:tentative="1">
      <w:start w:val="1"/>
      <w:numFmt w:val="lowerLetter"/>
      <w:lvlText w:val="%5."/>
      <w:lvlJc w:val="left"/>
      <w:pPr>
        <w:ind w:left="3600" w:hanging="360"/>
      </w:pPr>
    </w:lvl>
    <w:lvl w:ilvl="5" w:tplc="F7C87244" w:tentative="1">
      <w:start w:val="1"/>
      <w:numFmt w:val="lowerRoman"/>
      <w:lvlText w:val="%6."/>
      <w:lvlJc w:val="right"/>
      <w:pPr>
        <w:ind w:left="4320" w:hanging="180"/>
      </w:pPr>
    </w:lvl>
    <w:lvl w:ilvl="6" w:tplc="3ABA4772" w:tentative="1">
      <w:start w:val="1"/>
      <w:numFmt w:val="decimal"/>
      <w:lvlText w:val="%7."/>
      <w:lvlJc w:val="left"/>
      <w:pPr>
        <w:ind w:left="5040" w:hanging="360"/>
      </w:pPr>
    </w:lvl>
    <w:lvl w:ilvl="7" w:tplc="57FE38FA" w:tentative="1">
      <w:start w:val="1"/>
      <w:numFmt w:val="lowerLetter"/>
      <w:lvlText w:val="%8."/>
      <w:lvlJc w:val="left"/>
      <w:pPr>
        <w:ind w:left="5760" w:hanging="360"/>
      </w:pPr>
    </w:lvl>
    <w:lvl w:ilvl="8" w:tplc="443E7FA4" w:tentative="1">
      <w:start w:val="1"/>
      <w:numFmt w:val="lowerRoman"/>
      <w:lvlText w:val="%9."/>
      <w:lvlJc w:val="right"/>
      <w:pPr>
        <w:ind w:left="6480" w:hanging="180"/>
      </w:pPr>
    </w:lvl>
  </w:abstractNum>
  <w:abstractNum w:abstractNumId="32" w15:restartNumberingAfterBreak="0">
    <w:nsid w:val="792F418B"/>
    <w:multiLevelType w:val="hybridMultilevel"/>
    <w:tmpl w:val="ECA29AF0"/>
    <w:lvl w:ilvl="0" w:tplc="43EE80E6">
      <w:start w:val="2"/>
      <w:numFmt w:val="decimal"/>
      <w:lvlText w:val="%1."/>
      <w:lvlJc w:val="left"/>
      <w:pPr>
        <w:ind w:left="720" w:hanging="360"/>
      </w:pPr>
      <w:rPr>
        <w:rFonts w:hint="default"/>
        <w:i w:val="0"/>
      </w:rPr>
    </w:lvl>
    <w:lvl w:ilvl="1" w:tplc="98B4CA32" w:tentative="1">
      <w:start w:val="1"/>
      <w:numFmt w:val="lowerLetter"/>
      <w:lvlText w:val="%2."/>
      <w:lvlJc w:val="left"/>
      <w:pPr>
        <w:ind w:left="1440" w:hanging="360"/>
      </w:pPr>
    </w:lvl>
    <w:lvl w:ilvl="2" w:tplc="83F0F7C0" w:tentative="1">
      <w:start w:val="1"/>
      <w:numFmt w:val="lowerRoman"/>
      <w:lvlText w:val="%3."/>
      <w:lvlJc w:val="right"/>
      <w:pPr>
        <w:ind w:left="2160" w:hanging="180"/>
      </w:pPr>
    </w:lvl>
    <w:lvl w:ilvl="3" w:tplc="1B306E20" w:tentative="1">
      <w:start w:val="1"/>
      <w:numFmt w:val="decimal"/>
      <w:lvlText w:val="%4."/>
      <w:lvlJc w:val="left"/>
      <w:pPr>
        <w:ind w:left="2880" w:hanging="360"/>
      </w:pPr>
    </w:lvl>
    <w:lvl w:ilvl="4" w:tplc="206631AA" w:tentative="1">
      <w:start w:val="1"/>
      <w:numFmt w:val="lowerLetter"/>
      <w:lvlText w:val="%5."/>
      <w:lvlJc w:val="left"/>
      <w:pPr>
        <w:ind w:left="3600" w:hanging="360"/>
      </w:pPr>
    </w:lvl>
    <w:lvl w:ilvl="5" w:tplc="931880FA" w:tentative="1">
      <w:start w:val="1"/>
      <w:numFmt w:val="lowerRoman"/>
      <w:lvlText w:val="%6."/>
      <w:lvlJc w:val="right"/>
      <w:pPr>
        <w:ind w:left="4320" w:hanging="180"/>
      </w:pPr>
    </w:lvl>
    <w:lvl w:ilvl="6" w:tplc="826AA81E" w:tentative="1">
      <w:start w:val="1"/>
      <w:numFmt w:val="decimal"/>
      <w:lvlText w:val="%7."/>
      <w:lvlJc w:val="left"/>
      <w:pPr>
        <w:ind w:left="5040" w:hanging="360"/>
      </w:pPr>
    </w:lvl>
    <w:lvl w:ilvl="7" w:tplc="1CB49084" w:tentative="1">
      <w:start w:val="1"/>
      <w:numFmt w:val="lowerLetter"/>
      <w:lvlText w:val="%8."/>
      <w:lvlJc w:val="left"/>
      <w:pPr>
        <w:ind w:left="5760" w:hanging="360"/>
      </w:pPr>
    </w:lvl>
    <w:lvl w:ilvl="8" w:tplc="8F727CC6" w:tentative="1">
      <w:start w:val="1"/>
      <w:numFmt w:val="lowerRoman"/>
      <w:lvlText w:val="%9."/>
      <w:lvlJc w:val="right"/>
      <w:pPr>
        <w:ind w:left="6480" w:hanging="180"/>
      </w:pPr>
    </w:lvl>
  </w:abstractNum>
  <w:abstractNum w:abstractNumId="33" w15:restartNumberingAfterBreak="0">
    <w:nsid w:val="7C2C7716"/>
    <w:multiLevelType w:val="hybridMultilevel"/>
    <w:tmpl w:val="D9CC0720"/>
    <w:lvl w:ilvl="0" w:tplc="1026FB98">
      <w:start w:val="2"/>
      <w:numFmt w:val="decimal"/>
      <w:lvlText w:val="%1."/>
      <w:lvlJc w:val="left"/>
      <w:pPr>
        <w:ind w:left="720" w:hanging="360"/>
      </w:pPr>
      <w:rPr>
        <w:rFonts w:hint="default"/>
      </w:rPr>
    </w:lvl>
    <w:lvl w:ilvl="1" w:tplc="9FE8F616" w:tentative="1">
      <w:start w:val="1"/>
      <w:numFmt w:val="lowerLetter"/>
      <w:lvlText w:val="%2."/>
      <w:lvlJc w:val="left"/>
      <w:pPr>
        <w:ind w:left="1440" w:hanging="360"/>
      </w:pPr>
    </w:lvl>
    <w:lvl w:ilvl="2" w:tplc="5BB82918" w:tentative="1">
      <w:start w:val="1"/>
      <w:numFmt w:val="lowerRoman"/>
      <w:lvlText w:val="%3."/>
      <w:lvlJc w:val="right"/>
      <w:pPr>
        <w:ind w:left="2160" w:hanging="180"/>
      </w:pPr>
    </w:lvl>
    <w:lvl w:ilvl="3" w:tplc="EE5A92E0" w:tentative="1">
      <w:start w:val="1"/>
      <w:numFmt w:val="decimal"/>
      <w:lvlText w:val="%4."/>
      <w:lvlJc w:val="left"/>
      <w:pPr>
        <w:ind w:left="2880" w:hanging="360"/>
      </w:pPr>
    </w:lvl>
    <w:lvl w:ilvl="4" w:tplc="06C4F152" w:tentative="1">
      <w:start w:val="1"/>
      <w:numFmt w:val="lowerLetter"/>
      <w:lvlText w:val="%5."/>
      <w:lvlJc w:val="left"/>
      <w:pPr>
        <w:ind w:left="3600" w:hanging="360"/>
      </w:pPr>
    </w:lvl>
    <w:lvl w:ilvl="5" w:tplc="9804671E" w:tentative="1">
      <w:start w:val="1"/>
      <w:numFmt w:val="lowerRoman"/>
      <w:lvlText w:val="%6."/>
      <w:lvlJc w:val="right"/>
      <w:pPr>
        <w:ind w:left="4320" w:hanging="180"/>
      </w:pPr>
    </w:lvl>
    <w:lvl w:ilvl="6" w:tplc="6804ED52" w:tentative="1">
      <w:start w:val="1"/>
      <w:numFmt w:val="decimal"/>
      <w:lvlText w:val="%7."/>
      <w:lvlJc w:val="left"/>
      <w:pPr>
        <w:ind w:left="5040" w:hanging="360"/>
      </w:pPr>
    </w:lvl>
    <w:lvl w:ilvl="7" w:tplc="12627B74" w:tentative="1">
      <w:start w:val="1"/>
      <w:numFmt w:val="lowerLetter"/>
      <w:lvlText w:val="%8."/>
      <w:lvlJc w:val="left"/>
      <w:pPr>
        <w:ind w:left="5760" w:hanging="360"/>
      </w:pPr>
    </w:lvl>
    <w:lvl w:ilvl="8" w:tplc="A8B012F0" w:tentative="1">
      <w:start w:val="1"/>
      <w:numFmt w:val="lowerRoman"/>
      <w:lvlText w:val="%9."/>
      <w:lvlJc w:val="right"/>
      <w:pPr>
        <w:ind w:left="6480" w:hanging="180"/>
      </w:pPr>
    </w:lvl>
  </w:abstractNum>
  <w:num w:numId="1" w16cid:durableId="995063039">
    <w:abstractNumId w:val="28"/>
  </w:num>
  <w:num w:numId="2" w16cid:durableId="1499494124">
    <w:abstractNumId w:val="17"/>
  </w:num>
  <w:num w:numId="3" w16cid:durableId="1168668048">
    <w:abstractNumId w:val="1"/>
  </w:num>
  <w:num w:numId="4" w16cid:durableId="1368409809">
    <w:abstractNumId w:val="12"/>
  </w:num>
  <w:num w:numId="5" w16cid:durableId="1000231447">
    <w:abstractNumId w:val="0"/>
  </w:num>
  <w:num w:numId="6" w16cid:durableId="1506750177">
    <w:abstractNumId w:val="30"/>
  </w:num>
  <w:num w:numId="7" w16cid:durableId="1798336047">
    <w:abstractNumId w:val="9"/>
  </w:num>
  <w:num w:numId="8" w16cid:durableId="422991241">
    <w:abstractNumId w:val="7"/>
  </w:num>
  <w:num w:numId="9" w16cid:durableId="239025195">
    <w:abstractNumId w:val="26"/>
  </w:num>
  <w:num w:numId="10" w16cid:durableId="191310989">
    <w:abstractNumId w:val="20"/>
  </w:num>
  <w:num w:numId="11" w16cid:durableId="45882835">
    <w:abstractNumId w:val="15"/>
  </w:num>
  <w:num w:numId="12" w16cid:durableId="1044521540">
    <w:abstractNumId w:val="4"/>
  </w:num>
  <w:num w:numId="13" w16cid:durableId="115755001">
    <w:abstractNumId w:val="8"/>
  </w:num>
  <w:num w:numId="14" w16cid:durableId="1153178681">
    <w:abstractNumId w:val="23"/>
  </w:num>
  <w:num w:numId="15" w16cid:durableId="1822844543">
    <w:abstractNumId w:val="22"/>
  </w:num>
  <w:num w:numId="16" w16cid:durableId="311569253">
    <w:abstractNumId w:val="33"/>
  </w:num>
  <w:num w:numId="17" w16cid:durableId="1646204708">
    <w:abstractNumId w:val="16"/>
    <w:lvlOverride w:ilvl="0">
      <w:startOverride w:val="1"/>
    </w:lvlOverride>
  </w:num>
  <w:num w:numId="18" w16cid:durableId="955211190">
    <w:abstractNumId w:val="12"/>
    <w:lvlOverride w:ilvl="0">
      <w:startOverride w:val="1"/>
    </w:lvlOverride>
  </w:num>
  <w:num w:numId="19" w16cid:durableId="1138646427">
    <w:abstractNumId w:val="24"/>
  </w:num>
  <w:num w:numId="20" w16cid:durableId="432169232">
    <w:abstractNumId w:val="14"/>
  </w:num>
  <w:num w:numId="21" w16cid:durableId="1718160934">
    <w:abstractNumId w:val="32"/>
  </w:num>
  <w:num w:numId="22" w16cid:durableId="1525748366">
    <w:abstractNumId w:val="3"/>
  </w:num>
  <w:num w:numId="23" w16cid:durableId="1470201003">
    <w:abstractNumId w:val="13"/>
  </w:num>
  <w:num w:numId="24" w16cid:durableId="302464310">
    <w:abstractNumId w:val="1"/>
    <w:lvlOverride w:ilvl="0">
      <w:startOverride w:val="1"/>
    </w:lvlOverride>
  </w:num>
  <w:num w:numId="25" w16cid:durableId="97340003">
    <w:abstractNumId w:val="6"/>
  </w:num>
  <w:num w:numId="26" w16cid:durableId="1909262731">
    <w:abstractNumId w:val="31"/>
  </w:num>
  <w:num w:numId="27" w16cid:durableId="565453030">
    <w:abstractNumId w:val="21"/>
  </w:num>
  <w:num w:numId="28" w16cid:durableId="746652642">
    <w:abstractNumId w:val="5"/>
  </w:num>
  <w:num w:numId="29" w16cid:durableId="1739010818">
    <w:abstractNumId w:val="25"/>
  </w:num>
  <w:num w:numId="30" w16cid:durableId="374890268">
    <w:abstractNumId w:val="18"/>
  </w:num>
  <w:num w:numId="31" w16cid:durableId="627391962">
    <w:abstractNumId w:val="11"/>
  </w:num>
  <w:num w:numId="32" w16cid:durableId="1973945106">
    <w:abstractNumId w:val="27"/>
  </w:num>
  <w:num w:numId="33" w16cid:durableId="57481676">
    <w:abstractNumId w:val="12"/>
    <w:lvlOverride w:ilvl="0">
      <w:startOverride w:val="1"/>
    </w:lvlOverride>
  </w:num>
  <w:num w:numId="34" w16cid:durableId="2093895929">
    <w:abstractNumId w:val="10"/>
  </w:num>
  <w:num w:numId="35" w16cid:durableId="967127410">
    <w:abstractNumId w:val="2"/>
  </w:num>
  <w:num w:numId="36" w16cid:durableId="1195339228">
    <w:abstractNumId w:val="19"/>
  </w:num>
  <w:num w:numId="37" w16cid:durableId="639306648">
    <w:abstractNumId w:val="1"/>
  </w:num>
  <w:num w:numId="38" w16cid:durableId="317006128">
    <w:abstractNumId w:val="1"/>
  </w:num>
  <w:num w:numId="39" w16cid:durableId="67272446">
    <w:abstractNumId w:val="1"/>
  </w:num>
  <w:num w:numId="40" w16cid:durableId="1573736030">
    <w:abstractNumId w:val="1"/>
  </w:num>
  <w:num w:numId="41" w16cid:durableId="1154957662">
    <w:abstractNumId w:val="1"/>
  </w:num>
  <w:num w:numId="42" w16cid:durableId="345327412">
    <w:abstractNumId w:val="1"/>
  </w:num>
  <w:num w:numId="43" w16cid:durableId="2093891744">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qSrP80bDcTzoKxClTMEcx97e89TmfleIf0pA8vW0k1u+AR3bu6/eiEqaVHBqUN6/GDOO210aR9nlo33hgb8g==" w:salt="ZiUaECLYhVCMQtQP191ud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V_COMMENTS_LIST_A3F0ABAB-D387-4CB1-A59F-9459101C3EB1" w:val="&lt;compressed size=&quot;84&quot;&gt;eJwdijEKgDAQBOdDgSiSw/I0vsMqpWBh4+8dZIubud3Bxc3Dy8lCmM5EpZEUdqnLxa7JISUHm9/inV2s/6JqqYf+Ae3nCpA=&lt;/compressed&gt;_x000d__x000a_"/>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5E441B"/>
    <w:rsid w:val="00000EA9"/>
    <w:rsid w:val="000054E3"/>
    <w:rsid w:val="00017259"/>
    <w:rsid w:val="00020245"/>
    <w:rsid w:val="00030A0B"/>
    <w:rsid w:val="00051390"/>
    <w:rsid w:val="00054DC7"/>
    <w:rsid w:val="00057B2F"/>
    <w:rsid w:val="00065487"/>
    <w:rsid w:val="00070A78"/>
    <w:rsid w:val="000731C4"/>
    <w:rsid w:val="00077731"/>
    <w:rsid w:val="00081E4C"/>
    <w:rsid w:val="00083FFE"/>
    <w:rsid w:val="00086155"/>
    <w:rsid w:val="0008715F"/>
    <w:rsid w:val="00092117"/>
    <w:rsid w:val="00092D3F"/>
    <w:rsid w:val="000A0D50"/>
    <w:rsid w:val="000A2BAE"/>
    <w:rsid w:val="000A60F9"/>
    <w:rsid w:val="000B14C0"/>
    <w:rsid w:val="000B7EC7"/>
    <w:rsid w:val="000E12ED"/>
    <w:rsid w:val="000F1F2E"/>
    <w:rsid w:val="000F43DC"/>
    <w:rsid w:val="000F4846"/>
    <w:rsid w:val="000F4EDA"/>
    <w:rsid w:val="000F7A7F"/>
    <w:rsid w:val="000F7E52"/>
    <w:rsid w:val="00100F58"/>
    <w:rsid w:val="00106908"/>
    <w:rsid w:val="00110686"/>
    <w:rsid w:val="00115C3C"/>
    <w:rsid w:val="001269AC"/>
    <w:rsid w:val="0012749A"/>
    <w:rsid w:val="00127D68"/>
    <w:rsid w:val="001379CA"/>
    <w:rsid w:val="00141481"/>
    <w:rsid w:val="001422D4"/>
    <w:rsid w:val="00142893"/>
    <w:rsid w:val="0014371C"/>
    <w:rsid w:val="00145507"/>
    <w:rsid w:val="001514CE"/>
    <w:rsid w:val="001542C6"/>
    <w:rsid w:val="0015436D"/>
    <w:rsid w:val="001569AE"/>
    <w:rsid w:val="0015728E"/>
    <w:rsid w:val="00165EA0"/>
    <w:rsid w:val="00170E14"/>
    <w:rsid w:val="00172622"/>
    <w:rsid w:val="00173755"/>
    <w:rsid w:val="00184038"/>
    <w:rsid w:val="00187EAE"/>
    <w:rsid w:val="001950FE"/>
    <w:rsid w:val="00197A16"/>
    <w:rsid w:val="001B5052"/>
    <w:rsid w:val="001C2FE5"/>
    <w:rsid w:val="001D2920"/>
    <w:rsid w:val="001D47BB"/>
    <w:rsid w:val="001D66E0"/>
    <w:rsid w:val="001D6AFD"/>
    <w:rsid w:val="001E0C35"/>
    <w:rsid w:val="001E13F5"/>
    <w:rsid w:val="00207967"/>
    <w:rsid w:val="00212F39"/>
    <w:rsid w:val="00213B3A"/>
    <w:rsid w:val="00216776"/>
    <w:rsid w:val="00245F43"/>
    <w:rsid w:val="0026151F"/>
    <w:rsid w:val="00261F45"/>
    <w:rsid w:val="00261F89"/>
    <w:rsid w:val="002640E9"/>
    <w:rsid w:val="0027724D"/>
    <w:rsid w:val="00286C6F"/>
    <w:rsid w:val="00291720"/>
    <w:rsid w:val="00293885"/>
    <w:rsid w:val="00295483"/>
    <w:rsid w:val="002959E2"/>
    <w:rsid w:val="002B1FE2"/>
    <w:rsid w:val="002C0D14"/>
    <w:rsid w:val="002C15FD"/>
    <w:rsid w:val="002C467E"/>
    <w:rsid w:val="002D0FA7"/>
    <w:rsid w:val="002E182C"/>
    <w:rsid w:val="002E69D4"/>
    <w:rsid w:val="002F7476"/>
    <w:rsid w:val="003058E7"/>
    <w:rsid w:val="00305EB7"/>
    <w:rsid w:val="003127A2"/>
    <w:rsid w:val="00313865"/>
    <w:rsid w:val="00316433"/>
    <w:rsid w:val="00316D1E"/>
    <w:rsid w:val="00317643"/>
    <w:rsid w:val="0032344F"/>
    <w:rsid w:val="00324E57"/>
    <w:rsid w:val="003266E6"/>
    <w:rsid w:val="00341166"/>
    <w:rsid w:val="00341BC1"/>
    <w:rsid w:val="00342138"/>
    <w:rsid w:val="00347353"/>
    <w:rsid w:val="00352581"/>
    <w:rsid w:val="0035753B"/>
    <w:rsid w:val="00362B0A"/>
    <w:rsid w:val="00363D0A"/>
    <w:rsid w:val="00365E7C"/>
    <w:rsid w:val="0038140A"/>
    <w:rsid w:val="00382F43"/>
    <w:rsid w:val="003856EE"/>
    <w:rsid w:val="00385F81"/>
    <w:rsid w:val="00387AF0"/>
    <w:rsid w:val="0039285D"/>
    <w:rsid w:val="00393CBB"/>
    <w:rsid w:val="003A0BAF"/>
    <w:rsid w:val="003A72B3"/>
    <w:rsid w:val="003B2B67"/>
    <w:rsid w:val="003B5D4A"/>
    <w:rsid w:val="003C4A6F"/>
    <w:rsid w:val="003D0A16"/>
    <w:rsid w:val="003D37F2"/>
    <w:rsid w:val="003E1DF6"/>
    <w:rsid w:val="003E4DF5"/>
    <w:rsid w:val="003E4F8A"/>
    <w:rsid w:val="003F19F5"/>
    <w:rsid w:val="003F44A3"/>
    <w:rsid w:val="00401E06"/>
    <w:rsid w:val="00404B8A"/>
    <w:rsid w:val="00407C5E"/>
    <w:rsid w:val="00415C5E"/>
    <w:rsid w:val="00424AC2"/>
    <w:rsid w:val="00426D09"/>
    <w:rsid w:val="004303A5"/>
    <w:rsid w:val="00447917"/>
    <w:rsid w:val="0045627C"/>
    <w:rsid w:val="004570B0"/>
    <w:rsid w:val="0046130B"/>
    <w:rsid w:val="00461524"/>
    <w:rsid w:val="00475458"/>
    <w:rsid w:val="004971F6"/>
    <w:rsid w:val="00497DD1"/>
    <w:rsid w:val="004A33E0"/>
    <w:rsid w:val="004A7B19"/>
    <w:rsid w:val="004B1086"/>
    <w:rsid w:val="004B1205"/>
    <w:rsid w:val="004B5EE9"/>
    <w:rsid w:val="004C261C"/>
    <w:rsid w:val="004D594B"/>
    <w:rsid w:val="004E4B0F"/>
    <w:rsid w:val="004E74B7"/>
    <w:rsid w:val="004F1771"/>
    <w:rsid w:val="004F1A09"/>
    <w:rsid w:val="004F1F6C"/>
    <w:rsid w:val="004F1FAD"/>
    <w:rsid w:val="00500C9D"/>
    <w:rsid w:val="00503209"/>
    <w:rsid w:val="0051062C"/>
    <w:rsid w:val="005121FD"/>
    <w:rsid w:val="005139FE"/>
    <w:rsid w:val="00516155"/>
    <w:rsid w:val="00521C09"/>
    <w:rsid w:val="005267A9"/>
    <w:rsid w:val="00532596"/>
    <w:rsid w:val="00547F8D"/>
    <w:rsid w:val="00555576"/>
    <w:rsid w:val="00564E34"/>
    <w:rsid w:val="00576D12"/>
    <w:rsid w:val="005925E3"/>
    <w:rsid w:val="00595F94"/>
    <w:rsid w:val="00596C90"/>
    <w:rsid w:val="00596F05"/>
    <w:rsid w:val="00596F62"/>
    <w:rsid w:val="00597235"/>
    <w:rsid w:val="005C6469"/>
    <w:rsid w:val="005C6620"/>
    <w:rsid w:val="005D351A"/>
    <w:rsid w:val="005D596C"/>
    <w:rsid w:val="005E441B"/>
    <w:rsid w:val="005E6F34"/>
    <w:rsid w:val="005E7307"/>
    <w:rsid w:val="005F3E41"/>
    <w:rsid w:val="005F6F94"/>
    <w:rsid w:val="005F7323"/>
    <w:rsid w:val="00600B9F"/>
    <w:rsid w:val="00600CAB"/>
    <w:rsid w:val="00611642"/>
    <w:rsid w:val="00631D11"/>
    <w:rsid w:val="006344F0"/>
    <w:rsid w:val="006372D8"/>
    <w:rsid w:val="00655EDE"/>
    <w:rsid w:val="00656A8B"/>
    <w:rsid w:val="00663D44"/>
    <w:rsid w:val="00667FF8"/>
    <w:rsid w:val="00676844"/>
    <w:rsid w:val="00681113"/>
    <w:rsid w:val="00684E37"/>
    <w:rsid w:val="006A1599"/>
    <w:rsid w:val="006A1EC7"/>
    <w:rsid w:val="006A22B2"/>
    <w:rsid w:val="006A3BEE"/>
    <w:rsid w:val="006A3CC4"/>
    <w:rsid w:val="006A4503"/>
    <w:rsid w:val="006A76E1"/>
    <w:rsid w:val="006B0B4E"/>
    <w:rsid w:val="006B19A8"/>
    <w:rsid w:val="006B7E08"/>
    <w:rsid w:val="006D1D58"/>
    <w:rsid w:val="006D34EC"/>
    <w:rsid w:val="006E0D69"/>
    <w:rsid w:val="006E4A77"/>
    <w:rsid w:val="006E4E00"/>
    <w:rsid w:val="006F2A46"/>
    <w:rsid w:val="006F3B12"/>
    <w:rsid w:val="00700C9F"/>
    <w:rsid w:val="00700CE1"/>
    <w:rsid w:val="00700D8D"/>
    <w:rsid w:val="00702B56"/>
    <w:rsid w:val="00702C16"/>
    <w:rsid w:val="00707597"/>
    <w:rsid w:val="0072017A"/>
    <w:rsid w:val="00722DF9"/>
    <w:rsid w:val="00722F22"/>
    <w:rsid w:val="0072651A"/>
    <w:rsid w:val="0073355F"/>
    <w:rsid w:val="0073465B"/>
    <w:rsid w:val="00734BFA"/>
    <w:rsid w:val="007436E1"/>
    <w:rsid w:val="007440A3"/>
    <w:rsid w:val="00747A9F"/>
    <w:rsid w:val="00751743"/>
    <w:rsid w:val="00754289"/>
    <w:rsid w:val="0075730E"/>
    <w:rsid w:val="0076304A"/>
    <w:rsid w:val="00775E4B"/>
    <w:rsid w:val="00776011"/>
    <w:rsid w:val="0077623F"/>
    <w:rsid w:val="007779A9"/>
    <w:rsid w:val="0078611E"/>
    <w:rsid w:val="0079072B"/>
    <w:rsid w:val="007A7C5A"/>
    <w:rsid w:val="007D5380"/>
    <w:rsid w:val="007D6C62"/>
    <w:rsid w:val="007E131A"/>
    <w:rsid w:val="007F023A"/>
    <w:rsid w:val="007F4656"/>
    <w:rsid w:val="00806CB3"/>
    <w:rsid w:val="008129C7"/>
    <w:rsid w:val="00823145"/>
    <w:rsid w:val="00824ABC"/>
    <w:rsid w:val="0082528B"/>
    <w:rsid w:val="008307D5"/>
    <w:rsid w:val="00840FFD"/>
    <w:rsid w:val="0084429B"/>
    <w:rsid w:val="008652DA"/>
    <w:rsid w:val="008747EB"/>
    <w:rsid w:val="00876363"/>
    <w:rsid w:val="00876BC5"/>
    <w:rsid w:val="008828C0"/>
    <w:rsid w:val="0088447D"/>
    <w:rsid w:val="00893A53"/>
    <w:rsid w:val="008946F5"/>
    <w:rsid w:val="00895122"/>
    <w:rsid w:val="008B1A7E"/>
    <w:rsid w:val="008B2345"/>
    <w:rsid w:val="008B45C5"/>
    <w:rsid w:val="008C02E1"/>
    <w:rsid w:val="008C3ADB"/>
    <w:rsid w:val="008C3C15"/>
    <w:rsid w:val="008C43BF"/>
    <w:rsid w:val="008D3165"/>
    <w:rsid w:val="008F3599"/>
    <w:rsid w:val="008F4C19"/>
    <w:rsid w:val="00900335"/>
    <w:rsid w:val="00905A25"/>
    <w:rsid w:val="00911C89"/>
    <w:rsid w:val="009144ED"/>
    <w:rsid w:val="009318CE"/>
    <w:rsid w:val="009347B6"/>
    <w:rsid w:val="00950C08"/>
    <w:rsid w:val="00950FF8"/>
    <w:rsid w:val="00952E05"/>
    <w:rsid w:val="0095734A"/>
    <w:rsid w:val="00957ABF"/>
    <w:rsid w:val="00961A8F"/>
    <w:rsid w:val="00961F18"/>
    <w:rsid w:val="00963CBA"/>
    <w:rsid w:val="00966146"/>
    <w:rsid w:val="0098395A"/>
    <w:rsid w:val="009A1597"/>
    <w:rsid w:val="009A5779"/>
    <w:rsid w:val="009A5F81"/>
    <w:rsid w:val="009A65C3"/>
    <w:rsid w:val="009B1792"/>
    <w:rsid w:val="009B4B24"/>
    <w:rsid w:val="009B5D17"/>
    <w:rsid w:val="009D1583"/>
    <w:rsid w:val="009D61CC"/>
    <w:rsid w:val="009E4FC0"/>
    <w:rsid w:val="009E746E"/>
    <w:rsid w:val="009F0FD3"/>
    <w:rsid w:val="009F5D3E"/>
    <w:rsid w:val="00A036EF"/>
    <w:rsid w:val="00A03EE0"/>
    <w:rsid w:val="00A11A4D"/>
    <w:rsid w:val="00A15C74"/>
    <w:rsid w:val="00A21AB1"/>
    <w:rsid w:val="00A21CCE"/>
    <w:rsid w:val="00A242E6"/>
    <w:rsid w:val="00A25F36"/>
    <w:rsid w:val="00A26A0A"/>
    <w:rsid w:val="00A27DA0"/>
    <w:rsid w:val="00A46CFB"/>
    <w:rsid w:val="00A51C61"/>
    <w:rsid w:val="00A5424E"/>
    <w:rsid w:val="00A55945"/>
    <w:rsid w:val="00A568C4"/>
    <w:rsid w:val="00A572CA"/>
    <w:rsid w:val="00A60DE6"/>
    <w:rsid w:val="00A64123"/>
    <w:rsid w:val="00A82C6E"/>
    <w:rsid w:val="00A86234"/>
    <w:rsid w:val="00A87E48"/>
    <w:rsid w:val="00A93087"/>
    <w:rsid w:val="00AA0B13"/>
    <w:rsid w:val="00AA0E8E"/>
    <w:rsid w:val="00AB2167"/>
    <w:rsid w:val="00AB24FE"/>
    <w:rsid w:val="00AB2EDB"/>
    <w:rsid w:val="00AC3D00"/>
    <w:rsid w:val="00AC5976"/>
    <w:rsid w:val="00AC5D6D"/>
    <w:rsid w:val="00AC7128"/>
    <w:rsid w:val="00AD064A"/>
    <w:rsid w:val="00AE0101"/>
    <w:rsid w:val="00AE4647"/>
    <w:rsid w:val="00B03C36"/>
    <w:rsid w:val="00B205BC"/>
    <w:rsid w:val="00B21701"/>
    <w:rsid w:val="00B34FB3"/>
    <w:rsid w:val="00B36A17"/>
    <w:rsid w:val="00B658BB"/>
    <w:rsid w:val="00B67790"/>
    <w:rsid w:val="00B716E7"/>
    <w:rsid w:val="00B72154"/>
    <w:rsid w:val="00B80D78"/>
    <w:rsid w:val="00B8146A"/>
    <w:rsid w:val="00B82875"/>
    <w:rsid w:val="00B90BA0"/>
    <w:rsid w:val="00B91DFD"/>
    <w:rsid w:val="00BA54BD"/>
    <w:rsid w:val="00BB0F60"/>
    <w:rsid w:val="00BB5008"/>
    <w:rsid w:val="00BB5C3B"/>
    <w:rsid w:val="00BC1D5F"/>
    <w:rsid w:val="00BC493B"/>
    <w:rsid w:val="00BD2F2F"/>
    <w:rsid w:val="00BD34D5"/>
    <w:rsid w:val="00BD5D5B"/>
    <w:rsid w:val="00BE4A90"/>
    <w:rsid w:val="00C04DAB"/>
    <w:rsid w:val="00C07CF5"/>
    <w:rsid w:val="00C16687"/>
    <w:rsid w:val="00C1702E"/>
    <w:rsid w:val="00C207DC"/>
    <w:rsid w:val="00C22494"/>
    <w:rsid w:val="00C246F2"/>
    <w:rsid w:val="00C25E11"/>
    <w:rsid w:val="00C2753E"/>
    <w:rsid w:val="00C31FF2"/>
    <w:rsid w:val="00C33F8F"/>
    <w:rsid w:val="00C37480"/>
    <w:rsid w:val="00C5128A"/>
    <w:rsid w:val="00C512CE"/>
    <w:rsid w:val="00C52690"/>
    <w:rsid w:val="00C55DCA"/>
    <w:rsid w:val="00C80515"/>
    <w:rsid w:val="00C82439"/>
    <w:rsid w:val="00CA3729"/>
    <w:rsid w:val="00CA652A"/>
    <w:rsid w:val="00CA77A1"/>
    <w:rsid w:val="00CB5A77"/>
    <w:rsid w:val="00CC03BA"/>
    <w:rsid w:val="00CC1FD3"/>
    <w:rsid w:val="00CD72B0"/>
    <w:rsid w:val="00CE13C3"/>
    <w:rsid w:val="00CE3DBD"/>
    <w:rsid w:val="00CE406F"/>
    <w:rsid w:val="00CE6231"/>
    <w:rsid w:val="00CF00B5"/>
    <w:rsid w:val="00CF2928"/>
    <w:rsid w:val="00CF2D9C"/>
    <w:rsid w:val="00D0078C"/>
    <w:rsid w:val="00D05124"/>
    <w:rsid w:val="00D10C6A"/>
    <w:rsid w:val="00D11E0F"/>
    <w:rsid w:val="00D25010"/>
    <w:rsid w:val="00D26A38"/>
    <w:rsid w:val="00D310BD"/>
    <w:rsid w:val="00D318B7"/>
    <w:rsid w:val="00D35B4D"/>
    <w:rsid w:val="00D4008C"/>
    <w:rsid w:val="00D45E47"/>
    <w:rsid w:val="00D518E8"/>
    <w:rsid w:val="00D5411A"/>
    <w:rsid w:val="00D550B9"/>
    <w:rsid w:val="00D624EC"/>
    <w:rsid w:val="00D62A5A"/>
    <w:rsid w:val="00D70E53"/>
    <w:rsid w:val="00D73B15"/>
    <w:rsid w:val="00D75839"/>
    <w:rsid w:val="00D76FDE"/>
    <w:rsid w:val="00D8236D"/>
    <w:rsid w:val="00D83C3F"/>
    <w:rsid w:val="00D84D31"/>
    <w:rsid w:val="00D950F8"/>
    <w:rsid w:val="00D97245"/>
    <w:rsid w:val="00DA2677"/>
    <w:rsid w:val="00DB0CA6"/>
    <w:rsid w:val="00DB2DD8"/>
    <w:rsid w:val="00DB37D8"/>
    <w:rsid w:val="00DC3E17"/>
    <w:rsid w:val="00DD2EBC"/>
    <w:rsid w:val="00DD721C"/>
    <w:rsid w:val="00DE1009"/>
    <w:rsid w:val="00DE39C5"/>
    <w:rsid w:val="00DE3FAE"/>
    <w:rsid w:val="00DE6343"/>
    <w:rsid w:val="00DE6BCA"/>
    <w:rsid w:val="00DE7AB8"/>
    <w:rsid w:val="00DF0F3A"/>
    <w:rsid w:val="00DF3002"/>
    <w:rsid w:val="00E011C1"/>
    <w:rsid w:val="00E01CC1"/>
    <w:rsid w:val="00E16EF3"/>
    <w:rsid w:val="00E201A9"/>
    <w:rsid w:val="00E25B85"/>
    <w:rsid w:val="00E26CDA"/>
    <w:rsid w:val="00E2717C"/>
    <w:rsid w:val="00E27EA2"/>
    <w:rsid w:val="00E30AC1"/>
    <w:rsid w:val="00E40B59"/>
    <w:rsid w:val="00E47A96"/>
    <w:rsid w:val="00E5107E"/>
    <w:rsid w:val="00E512E2"/>
    <w:rsid w:val="00E557D4"/>
    <w:rsid w:val="00E573BB"/>
    <w:rsid w:val="00E57C53"/>
    <w:rsid w:val="00E64398"/>
    <w:rsid w:val="00E715DA"/>
    <w:rsid w:val="00E73EAD"/>
    <w:rsid w:val="00E75C51"/>
    <w:rsid w:val="00E83A63"/>
    <w:rsid w:val="00EA0DF9"/>
    <w:rsid w:val="00EA395F"/>
    <w:rsid w:val="00EA525A"/>
    <w:rsid w:val="00EA6F48"/>
    <w:rsid w:val="00EB4BEC"/>
    <w:rsid w:val="00EB62A9"/>
    <w:rsid w:val="00EC251B"/>
    <w:rsid w:val="00EC5878"/>
    <w:rsid w:val="00EC5D5E"/>
    <w:rsid w:val="00ED08E7"/>
    <w:rsid w:val="00ED0D05"/>
    <w:rsid w:val="00ED44EE"/>
    <w:rsid w:val="00ED73AC"/>
    <w:rsid w:val="00EE0AB9"/>
    <w:rsid w:val="00EF6D55"/>
    <w:rsid w:val="00F035E1"/>
    <w:rsid w:val="00F0383E"/>
    <w:rsid w:val="00F03EB5"/>
    <w:rsid w:val="00F05A1E"/>
    <w:rsid w:val="00F060CC"/>
    <w:rsid w:val="00F07DCD"/>
    <w:rsid w:val="00F07FD2"/>
    <w:rsid w:val="00F2057A"/>
    <w:rsid w:val="00F232F6"/>
    <w:rsid w:val="00F25627"/>
    <w:rsid w:val="00F261BD"/>
    <w:rsid w:val="00F317D8"/>
    <w:rsid w:val="00F35B7F"/>
    <w:rsid w:val="00F41F88"/>
    <w:rsid w:val="00F43AE4"/>
    <w:rsid w:val="00F47E1A"/>
    <w:rsid w:val="00F52889"/>
    <w:rsid w:val="00F538BD"/>
    <w:rsid w:val="00F54BFA"/>
    <w:rsid w:val="00F56662"/>
    <w:rsid w:val="00F6313E"/>
    <w:rsid w:val="00F640F5"/>
    <w:rsid w:val="00F66816"/>
    <w:rsid w:val="00F673C2"/>
    <w:rsid w:val="00F72821"/>
    <w:rsid w:val="00F73B56"/>
    <w:rsid w:val="00F765E2"/>
    <w:rsid w:val="00F776E9"/>
    <w:rsid w:val="00F83839"/>
    <w:rsid w:val="00F91B10"/>
    <w:rsid w:val="00F9404C"/>
    <w:rsid w:val="00FA226A"/>
    <w:rsid w:val="00FA44D8"/>
    <w:rsid w:val="00FA78E6"/>
    <w:rsid w:val="00FB0B28"/>
    <w:rsid w:val="00FB1707"/>
    <w:rsid w:val="00FD4500"/>
    <w:rsid w:val="00FD73B9"/>
    <w:rsid w:val="00FF14EC"/>
    <w:rsid w:val="00FF2AC8"/>
    <w:rsid w:val="00FF345B"/>
    <w:rsid w:val="00FF3644"/>
    <w:rsid w:val="00FF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8D28B"/>
  <w15:docId w15:val="{608BC9FB-2067-4917-A1F6-EA961735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D05"/>
    <w:pPr>
      <w:spacing w:before="240" w:after="240"/>
      <w:ind w:left="360"/>
    </w:pPr>
    <w:rPr>
      <w:rFonts w:ascii="Georgia" w:eastAsia="Times New Roman" w:hAnsi="Georgia" w:cstheme="minorHAnsi"/>
      <w:sz w:val="24"/>
      <w:szCs w:val="24"/>
    </w:rPr>
  </w:style>
  <w:style w:type="paragraph" w:styleId="Heading1">
    <w:name w:val="heading 1"/>
    <w:basedOn w:val="Normal"/>
    <w:next w:val="Normal"/>
    <w:link w:val="Heading1Char"/>
    <w:rsid w:val="00A82C6E"/>
    <w:pPr>
      <w:keepNext/>
      <w:keepLines/>
      <w:pBdr>
        <w:bottom w:val="single" w:sz="4" w:space="2" w:color="E56A54" w:themeColor="accent2"/>
      </w:pBdr>
      <w:spacing w:before="360" w:after="120"/>
      <w:ind w:left="0"/>
      <w:outlineLvl w:val="0"/>
    </w:pPr>
    <w:rPr>
      <w:rFonts w:eastAsiaTheme="majorEastAsia" w:cstheme="majorBidi"/>
      <w:color w:val="002F56"/>
      <w:sz w:val="36"/>
      <w:szCs w:val="40"/>
    </w:rPr>
  </w:style>
  <w:style w:type="paragraph" w:styleId="Heading2">
    <w:name w:val="heading 2"/>
    <w:basedOn w:val="Normal"/>
    <w:next w:val="Normal"/>
    <w:link w:val="Heading2Char"/>
    <w:uiPriority w:val="9"/>
    <w:unhideWhenUsed/>
    <w:qFormat/>
    <w:rsid w:val="00A26A0A"/>
    <w:pPr>
      <w:keepNext/>
      <w:keepLines/>
      <w:numPr>
        <w:numId w:val="1"/>
      </w:numPr>
      <w:spacing w:before="120"/>
      <w:outlineLvl w:val="1"/>
    </w:pPr>
    <w:rPr>
      <w:rFonts w:eastAsiaTheme="majorEastAsia" w:cstheme="majorBidi"/>
      <w:color w:val="990000"/>
      <w:sz w:val="32"/>
      <w:szCs w:val="36"/>
    </w:rPr>
  </w:style>
  <w:style w:type="paragraph" w:styleId="Heading3">
    <w:name w:val="heading 3"/>
    <w:basedOn w:val="Normal"/>
    <w:next w:val="Normal"/>
    <w:link w:val="Heading3Char"/>
    <w:uiPriority w:val="9"/>
    <w:unhideWhenUsed/>
    <w:rsid w:val="00057B2F"/>
    <w:pPr>
      <w:keepNext/>
      <w:keepLines/>
      <w:spacing w:before="80" w:after="0"/>
      <w:outlineLvl w:val="2"/>
    </w:pPr>
    <w:rPr>
      <w:rFonts w:asciiTheme="majorHAnsi" w:eastAsiaTheme="majorEastAsia" w:hAnsiTheme="majorHAnsi" w:cstheme="majorBidi"/>
      <w:color w:val="CB381F" w:themeColor="accent2" w:themeShade="BF"/>
      <w:sz w:val="32"/>
      <w:szCs w:val="32"/>
    </w:rPr>
  </w:style>
  <w:style w:type="paragraph" w:styleId="Heading4">
    <w:name w:val="heading 4"/>
    <w:basedOn w:val="Normal"/>
    <w:next w:val="Normal"/>
    <w:link w:val="Heading4Char"/>
    <w:uiPriority w:val="9"/>
    <w:unhideWhenUsed/>
    <w:rsid w:val="00C55244"/>
    <w:pPr>
      <w:keepNext/>
      <w:keepLines/>
      <w:spacing w:before="80"/>
      <w:outlineLvl w:val="3"/>
    </w:pPr>
    <w:rPr>
      <w:rFonts w:eastAsiaTheme="majorEastAsia" w:cstheme="majorBidi"/>
      <w:b/>
      <w:iCs/>
      <w:sz w:val="28"/>
      <w:szCs w:val="28"/>
    </w:rPr>
  </w:style>
  <w:style w:type="paragraph" w:styleId="Heading5">
    <w:name w:val="heading 5"/>
    <w:basedOn w:val="Normal"/>
    <w:next w:val="Normal"/>
    <w:link w:val="Heading5Char"/>
    <w:uiPriority w:val="9"/>
    <w:unhideWhenUsed/>
    <w:rsid w:val="00A977C6"/>
    <w:pPr>
      <w:keepNext/>
      <w:keepLines/>
      <w:spacing w:before="120" w:after="120"/>
      <w:ind w:left="720"/>
      <w:outlineLvl w:val="4"/>
    </w:pPr>
    <w:rPr>
      <w:rFonts w:eastAsiaTheme="majorEastAsia" w:cstheme="majorBidi"/>
      <w:b/>
      <w:i/>
      <w:color w:val="002060"/>
    </w:rPr>
  </w:style>
  <w:style w:type="paragraph" w:styleId="Heading6">
    <w:name w:val="heading 6"/>
    <w:basedOn w:val="Normal"/>
    <w:next w:val="Normal"/>
    <w:link w:val="Heading6Char"/>
    <w:uiPriority w:val="9"/>
    <w:semiHidden/>
    <w:unhideWhenUsed/>
    <w:rsid w:val="00057B2F"/>
    <w:pPr>
      <w:keepNext/>
      <w:keepLines/>
      <w:spacing w:before="80" w:after="0"/>
      <w:outlineLvl w:val="5"/>
    </w:pPr>
    <w:rPr>
      <w:rFonts w:asciiTheme="majorHAnsi" w:eastAsiaTheme="majorEastAsia" w:hAnsiTheme="majorHAnsi" w:cstheme="majorBidi"/>
      <w:i/>
      <w:iCs/>
      <w:color w:val="882614" w:themeColor="accent2" w:themeShade="80"/>
    </w:rPr>
  </w:style>
  <w:style w:type="paragraph" w:styleId="Heading7">
    <w:name w:val="heading 7"/>
    <w:basedOn w:val="Normal"/>
    <w:next w:val="Normal"/>
    <w:link w:val="Heading7Char"/>
    <w:uiPriority w:val="9"/>
    <w:semiHidden/>
    <w:unhideWhenUsed/>
    <w:qFormat/>
    <w:rsid w:val="00057B2F"/>
    <w:pPr>
      <w:keepNext/>
      <w:keepLines/>
      <w:spacing w:before="80" w:after="0"/>
      <w:outlineLvl w:val="6"/>
    </w:pPr>
    <w:rPr>
      <w:rFonts w:asciiTheme="majorHAnsi" w:eastAsiaTheme="majorEastAsia" w:hAnsiTheme="majorHAnsi" w:cstheme="majorBidi"/>
      <w:b/>
      <w:bCs/>
      <w:color w:val="882614" w:themeColor="accent2" w:themeShade="80"/>
    </w:rPr>
  </w:style>
  <w:style w:type="paragraph" w:styleId="Heading8">
    <w:name w:val="heading 8"/>
    <w:basedOn w:val="Normal"/>
    <w:next w:val="Normal"/>
    <w:link w:val="Heading8Char"/>
    <w:uiPriority w:val="9"/>
    <w:semiHidden/>
    <w:unhideWhenUsed/>
    <w:qFormat/>
    <w:rsid w:val="00057B2F"/>
    <w:pPr>
      <w:keepNext/>
      <w:keepLines/>
      <w:spacing w:before="80" w:after="0"/>
      <w:outlineLvl w:val="7"/>
    </w:pPr>
    <w:rPr>
      <w:rFonts w:asciiTheme="majorHAnsi" w:eastAsiaTheme="majorEastAsia" w:hAnsiTheme="majorHAnsi" w:cstheme="majorBidi"/>
      <w:color w:val="882614" w:themeColor="accent2" w:themeShade="80"/>
    </w:rPr>
  </w:style>
  <w:style w:type="paragraph" w:styleId="Heading9">
    <w:name w:val="heading 9"/>
    <w:basedOn w:val="Normal"/>
    <w:next w:val="Normal"/>
    <w:link w:val="Heading9Char"/>
    <w:uiPriority w:val="9"/>
    <w:semiHidden/>
    <w:unhideWhenUsed/>
    <w:qFormat/>
    <w:rsid w:val="00057B2F"/>
    <w:pPr>
      <w:keepNext/>
      <w:keepLines/>
      <w:spacing w:before="80" w:after="0"/>
      <w:outlineLvl w:val="8"/>
    </w:pPr>
    <w:rPr>
      <w:rFonts w:asciiTheme="majorHAnsi" w:eastAsiaTheme="majorEastAsia" w:hAnsiTheme="majorHAnsi" w:cstheme="majorBidi"/>
      <w:i/>
      <w:iCs/>
      <w:color w:val="882614" w:themeColor="accen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bBrand-Head2">
    <w:name w:val="ubBrand-Head2"/>
    <w:basedOn w:val="DefaultParagraphFont"/>
    <w:uiPriority w:val="1"/>
    <w:rsid w:val="00652D4D"/>
    <w:rPr>
      <w:rFonts w:ascii="Georgia" w:hAnsi="Georgia"/>
      <w:b/>
      <w:caps w:val="0"/>
      <w:smallCaps w:val="0"/>
      <w:strike w:val="0"/>
      <w:dstrike w:val="0"/>
      <w:vanish w:val="0"/>
      <w:color w:val="005BBB"/>
      <w:sz w:val="28"/>
      <w:vertAlign w:val="baseline"/>
    </w:rPr>
  </w:style>
  <w:style w:type="paragraph" w:customStyle="1" w:styleId="UBBrand-Bullet">
    <w:name w:val="UBBrand-Bullet"/>
    <w:basedOn w:val="ListParagraph"/>
    <w:link w:val="UBBrand-BulletChar"/>
    <w:rsid w:val="00652D4D"/>
    <w:pPr>
      <w:numPr>
        <w:numId w:val="6"/>
      </w:numPr>
      <w:tabs>
        <w:tab w:val="num" w:pos="360"/>
        <w:tab w:val="left" w:pos="720"/>
      </w:tabs>
      <w:ind w:hanging="360"/>
      <w:contextualSpacing w:val="0"/>
    </w:pPr>
    <w:rPr>
      <w:rFonts w:ascii="Arial" w:hAnsi="Arial" w:cs="Arial"/>
      <w:szCs w:val="30"/>
    </w:rPr>
  </w:style>
  <w:style w:type="character" w:customStyle="1" w:styleId="UBBrand-BulletChar">
    <w:name w:val="UBBrand-Bullet Char"/>
    <w:basedOn w:val="DefaultParagraphFont"/>
    <w:link w:val="UBBrand-Bullet"/>
    <w:rsid w:val="00652D4D"/>
    <w:rPr>
      <w:rFonts w:ascii="Arial" w:eastAsia="Times New Roman" w:hAnsi="Arial" w:cs="Arial"/>
      <w:sz w:val="24"/>
      <w:szCs w:val="30"/>
    </w:rPr>
  </w:style>
  <w:style w:type="paragraph" w:styleId="ListParagraph">
    <w:name w:val="List Paragraph"/>
    <w:basedOn w:val="Normal"/>
    <w:link w:val="ListParagraphChar"/>
    <w:uiPriority w:val="34"/>
    <w:qFormat/>
    <w:rsid w:val="00652D4D"/>
    <w:pPr>
      <w:ind w:left="720"/>
      <w:contextualSpacing/>
    </w:pPr>
  </w:style>
  <w:style w:type="paragraph" w:customStyle="1" w:styleId="UBBrand-Body">
    <w:name w:val="UBBrand - Body"/>
    <w:basedOn w:val="BodyText"/>
    <w:link w:val="UBBrand-BodyChar"/>
    <w:rsid w:val="00652D4D"/>
    <w:pPr>
      <w:tabs>
        <w:tab w:val="left" w:pos="720"/>
      </w:tabs>
      <w:spacing w:after="160"/>
    </w:pPr>
    <w:rPr>
      <w:rFonts w:ascii="Arial" w:hAnsi="Arial" w:cs="Arial"/>
    </w:rPr>
  </w:style>
  <w:style w:type="character" w:customStyle="1" w:styleId="UBBrand-BodyChar">
    <w:name w:val="UBBrand - Body Char"/>
    <w:basedOn w:val="BodyTextChar"/>
    <w:link w:val="UBBrand-Body"/>
    <w:rsid w:val="00652D4D"/>
    <w:rPr>
      <w:rFonts w:ascii="Arial" w:hAnsi="Arial" w:cs="Arial"/>
      <w:sz w:val="24"/>
      <w:szCs w:val="24"/>
    </w:rPr>
  </w:style>
  <w:style w:type="paragraph" w:styleId="BodyText">
    <w:name w:val="Body Text"/>
    <w:basedOn w:val="Normal"/>
    <w:link w:val="BodyTextChar"/>
    <w:uiPriority w:val="99"/>
    <w:semiHidden/>
    <w:unhideWhenUsed/>
    <w:rsid w:val="00652D4D"/>
    <w:pPr>
      <w:spacing w:after="120"/>
    </w:pPr>
  </w:style>
  <w:style w:type="character" w:customStyle="1" w:styleId="BodyTextChar">
    <w:name w:val="Body Text Char"/>
    <w:basedOn w:val="DefaultParagraphFont"/>
    <w:link w:val="BodyText"/>
    <w:uiPriority w:val="99"/>
    <w:semiHidden/>
    <w:rsid w:val="00652D4D"/>
  </w:style>
  <w:style w:type="character" w:customStyle="1" w:styleId="Heading1Char">
    <w:name w:val="Heading 1 Char"/>
    <w:basedOn w:val="DefaultParagraphFont"/>
    <w:link w:val="Heading1"/>
    <w:rsid w:val="00A82C6E"/>
    <w:rPr>
      <w:rFonts w:ascii="Georgia" w:eastAsiaTheme="majorEastAsia" w:hAnsi="Georgia" w:cstheme="majorBidi"/>
      <w:color w:val="002F56"/>
      <w:sz w:val="36"/>
      <w:szCs w:val="40"/>
    </w:rPr>
  </w:style>
  <w:style w:type="character" w:customStyle="1" w:styleId="Heading2Char">
    <w:name w:val="Heading 2 Char"/>
    <w:basedOn w:val="DefaultParagraphFont"/>
    <w:link w:val="Heading2"/>
    <w:uiPriority w:val="9"/>
    <w:rsid w:val="00A26A0A"/>
    <w:rPr>
      <w:rFonts w:ascii="Georgia" w:eastAsiaTheme="majorEastAsia" w:hAnsi="Georgia" w:cstheme="majorBidi"/>
      <w:color w:val="990000"/>
      <w:sz w:val="32"/>
      <w:szCs w:val="36"/>
    </w:rPr>
  </w:style>
  <w:style w:type="character" w:customStyle="1" w:styleId="Heading3Char">
    <w:name w:val="Heading 3 Char"/>
    <w:basedOn w:val="DefaultParagraphFont"/>
    <w:link w:val="Heading3"/>
    <w:uiPriority w:val="9"/>
    <w:semiHidden/>
    <w:rsid w:val="00057B2F"/>
    <w:rPr>
      <w:rFonts w:asciiTheme="majorHAnsi" w:eastAsiaTheme="majorEastAsia" w:hAnsiTheme="majorHAnsi" w:cstheme="majorBidi"/>
      <w:color w:val="CB381F" w:themeColor="accent2" w:themeShade="BF"/>
      <w:sz w:val="32"/>
      <w:szCs w:val="32"/>
    </w:rPr>
  </w:style>
  <w:style w:type="paragraph" w:styleId="ListNumber2">
    <w:name w:val="List Number 2"/>
    <w:basedOn w:val="Normal"/>
    <w:uiPriority w:val="99"/>
    <w:semiHidden/>
    <w:unhideWhenUsed/>
    <w:rsid w:val="004441DA"/>
    <w:pPr>
      <w:numPr>
        <w:numId w:val="5"/>
      </w:numPr>
      <w:contextualSpacing/>
    </w:pPr>
  </w:style>
  <w:style w:type="character" w:customStyle="1" w:styleId="Heading4Char">
    <w:name w:val="Heading 4 Char"/>
    <w:basedOn w:val="DefaultParagraphFont"/>
    <w:link w:val="Heading4"/>
    <w:uiPriority w:val="9"/>
    <w:rsid w:val="00C55244"/>
    <w:rPr>
      <w:rFonts w:ascii="Georgia" w:eastAsiaTheme="majorEastAsia" w:hAnsi="Georgia" w:cstheme="majorBidi"/>
      <w:b/>
      <w:iCs/>
      <w:sz w:val="28"/>
      <w:szCs w:val="28"/>
    </w:rPr>
  </w:style>
  <w:style w:type="character" w:customStyle="1" w:styleId="Heading5Char">
    <w:name w:val="Heading 5 Char"/>
    <w:basedOn w:val="DefaultParagraphFont"/>
    <w:link w:val="Heading5"/>
    <w:uiPriority w:val="9"/>
    <w:rsid w:val="00A977C6"/>
    <w:rPr>
      <w:rFonts w:ascii="Georgia" w:eastAsiaTheme="majorEastAsia" w:hAnsi="Georgia" w:cstheme="majorBidi"/>
      <w:b/>
      <w:i/>
      <w:color w:val="002060"/>
      <w:sz w:val="24"/>
      <w:szCs w:val="24"/>
    </w:rPr>
  </w:style>
  <w:style w:type="character" w:customStyle="1" w:styleId="Heading6Char">
    <w:name w:val="Heading 6 Char"/>
    <w:basedOn w:val="DefaultParagraphFont"/>
    <w:link w:val="Heading6"/>
    <w:uiPriority w:val="9"/>
    <w:semiHidden/>
    <w:rsid w:val="00057B2F"/>
    <w:rPr>
      <w:rFonts w:asciiTheme="majorHAnsi" w:eastAsiaTheme="majorEastAsia" w:hAnsiTheme="majorHAnsi" w:cstheme="majorBidi"/>
      <w:i/>
      <w:iCs/>
      <w:color w:val="882614" w:themeColor="accent2" w:themeShade="80"/>
      <w:sz w:val="24"/>
      <w:szCs w:val="24"/>
    </w:rPr>
  </w:style>
  <w:style w:type="character" w:customStyle="1" w:styleId="Heading7Char">
    <w:name w:val="Heading 7 Char"/>
    <w:basedOn w:val="DefaultParagraphFont"/>
    <w:link w:val="Heading7"/>
    <w:uiPriority w:val="9"/>
    <w:semiHidden/>
    <w:rsid w:val="00057B2F"/>
    <w:rPr>
      <w:rFonts w:asciiTheme="majorHAnsi" w:eastAsiaTheme="majorEastAsia" w:hAnsiTheme="majorHAnsi" w:cstheme="majorBidi"/>
      <w:b/>
      <w:bCs/>
      <w:color w:val="882614" w:themeColor="accent2" w:themeShade="80"/>
      <w:sz w:val="22"/>
      <w:szCs w:val="22"/>
    </w:rPr>
  </w:style>
  <w:style w:type="character" w:customStyle="1" w:styleId="Heading8Char">
    <w:name w:val="Heading 8 Char"/>
    <w:basedOn w:val="DefaultParagraphFont"/>
    <w:link w:val="Heading8"/>
    <w:uiPriority w:val="9"/>
    <w:semiHidden/>
    <w:rsid w:val="00057B2F"/>
    <w:rPr>
      <w:rFonts w:asciiTheme="majorHAnsi" w:eastAsiaTheme="majorEastAsia" w:hAnsiTheme="majorHAnsi" w:cstheme="majorBidi"/>
      <w:color w:val="882614" w:themeColor="accent2" w:themeShade="80"/>
      <w:sz w:val="22"/>
      <w:szCs w:val="22"/>
    </w:rPr>
  </w:style>
  <w:style w:type="character" w:customStyle="1" w:styleId="Heading9Char">
    <w:name w:val="Heading 9 Char"/>
    <w:basedOn w:val="DefaultParagraphFont"/>
    <w:link w:val="Heading9"/>
    <w:uiPriority w:val="9"/>
    <w:semiHidden/>
    <w:rsid w:val="00057B2F"/>
    <w:rPr>
      <w:rFonts w:asciiTheme="majorHAnsi" w:eastAsiaTheme="majorEastAsia" w:hAnsiTheme="majorHAnsi" w:cstheme="majorBidi"/>
      <w:i/>
      <w:iCs/>
      <w:color w:val="882614" w:themeColor="accent2" w:themeShade="80"/>
      <w:sz w:val="22"/>
      <w:szCs w:val="22"/>
    </w:rPr>
  </w:style>
  <w:style w:type="paragraph" w:styleId="Caption">
    <w:name w:val="caption"/>
    <w:basedOn w:val="Normal"/>
    <w:next w:val="Normal"/>
    <w:unhideWhenUsed/>
    <w:qFormat/>
    <w:rsid w:val="00F9404C"/>
    <w:pPr>
      <w:jc w:val="center"/>
    </w:pPr>
    <w:rPr>
      <w:color w:val="FFFFFF" w:themeColor="background1"/>
    </w:rPr>
  </w:style>
  <w:style w:type="paragraph" w:styleId="Title">
    <w:name w:val="Title"/>
    <w:basedOn w:val="Normal"/>
    <w:next w:val="Normal"/>
    <w:link w:val="TitleChar"/>
    <w:uiPriority w:val="10"/>
    <w:qFormat/>
    <w:rsid w:val="00FF345B"/>
    <w:rPr>
      <w:rFonts w:ascii="Sofia Pro Black" w:hAnsi="Sofia Pro Black"/>
      <w:color w:val="FFFFFF" w:themeColor="background1"/>
      <w:sz w:val="48"/>
    </w:rPr>
  </w:style>
  <w:style w:type="character" w:customStyle="1" w:styleId="TitleChar">
    <w:name w:val="Title Char"/>
    <w:basedOn w:val="DefaultParagraphFont"/>
    <w:link w:val="Title"/>
    <w:uiPriority w:val="10"/>
    <w:rsid w:val="00FF345B"/>
    <w:rPr>
      <w:rFonts w:ascii="Sofia Pro Black" w:eastAsia="Times New Roman" w:hAnsi="Sofia Pro Black" w:cstheme="minorHAnsi"/>
      <w:color w:val="FFFFFF" w:themeColor="background1"/>
      <w:sz w:val="48"/>
      <w:szCs w:val="24"/>
    </w:rPr>
  </w:style>
  <w:style w:type="paragraph" w:styleId="Subtitle">
    <w:name w:val="Subtitle"/>
    <w:basedOn w:val="Normal"/>
    <w:next w:val="Normal"/>
    <w:link w:val="SubtitleChar"/>
    <w:uiPriority w:val="11"/>
    <w:qFormat/>
    <w:rsid w:val="00057B2F"/>
    <w:pPr>
      <w:numPr>
        <w:ilvl w:val="1"/>
      </w:numPr>
      <w:ind w:left="360"/>
    </w:pPr>
    <w:rPr>
      <w:caps/>
      <w:color w:val="0D82FF" w:themeColor="text1" w:themeTint="BF"/>
      <w:spacing w:val="20"/>
      <w:sz w:val="28"/>
      <w:szCs w:val="28"/>
    </w:rPr>
  </w:style>
  <w:style w:type="character" w:customStyle="1" w:styleId="SubtitleChar">
    <w:name w:val="Subtitle Char"/>
    <w:basedOn w:val="DefaultParagraphFont"/>
    <w:link w:val="Subtitle"/>
    <w:uiPriority w:val="11"/>
    <w:rsid w:val="00057B2F"/>
    <w:rPr>
      <w:caps/>
      <w:color w:val="0D82FF" w:themeColor="text1" w:themeTint="BF"/>
      <w:spacing w:val="20"/>
      <w:sz w:val="28"/>
      <w:szCs w:val="28"/>
    </w:rPr>
  </w:style>
  <w:style w:type="character" w:styleId="Strong">
    <w:name w:val="Strong"/>
    <w:basedOn w:val="DefaultParagraphFont"/>
    <w:qFormat/>
    <w:rsid w:val="00057B2F"/>
    <w:rPr>
      <w:b/>
      <w:bCs/>
    </w:rPr>
  </w:style>
  <w:style w:type="character" w:styleId="Emphasis">
    <w:name w:val="Emphasis"/>
    <w:basedOn w:val="DefaultParagraphFont"/>
    <w:uiPriority w:val="20"/>
    <w:qFormat/>
    <w:rsid w:val="00057B2F"/>
    <w:rPr>
      <w:i/>
      <w:iCs/>
      <w:color w:val="005BBB" w:themeColor="text1"/>
    </w:rPr>
  </w:style>
  <w:style w:type="paragraph" w:styleId="NoSpacing">
    <w:name w:val="No Spacing"/>
    <w:link w:val="NoSpacingChar"/>
    <w:uiPriority w:val="1"/>
    <w:qFormat/>
    <w:rsid w:val="00057B2F"/>
    <w:pPr>
      <w:spacing w:after="0" w:line="240" w:lineRule="auto"/>
    </w:pPr>
  </w:style>
  <w:style w:type="paragraph" w:styleId="Quote">
    <w:name w:val="Quote"/>
    <w:basedOn w:val="Normal"/>
    <w:next w:val="Normal"/>
    <w:link w:val="QuoteChar"/>
    <w:uiPriority w:val="29"/>
    <w:qFormat/>
    <w:rsid w:val="00057B2F"/>
    <w:pPr>
      <w:spacing w:before="160"/>
      <w:ind w:left="720" w:right="720"/>
      <w:jc w:val="center"/>
    </w:pPr>
    <w:rPr>
      <w:rFonts w:asciiTheme="majorHAnsi" w:eastAsiaTheme="majorEastAsia" w:hAnsiTheme="majorHAnsi" w:cstheme="majorBidi"/>
      <w:color w:val="005BBB" w:themeColor="text1"/>
    </w:rPr>
  </w:style>
  <w:style w:type="character" w:customStyle="1" w:styleId="QuoteChar">
    <w:name w:val="Quote Char"/>
    <w:basedOn w:val="DefaultParagraphFont"/>
    <w:link w:val="Quote"/>
    <w:uiPriority w:val="29"/>
    <w:rsid w:val="00057B2F"/>
    <w:rPr>
      <w:rFonts w:asciiTheme="majorHAnsi" w:eastAsiaTheme="majorEastAsia" w:hAnsiTheme="majorHAnsi" w:cstheme="majorBidi"/>
      <w:color w:val="005BBB" w:themeColor="text1"/>
      <w:sz w:val="24"/>
      <w:szCs w:val="24"/>
    </w:rPr>
  </w:style>
  <w:style w:type="paragraph" w:styleId="IntenseQuote">
    <w:name w:val="Intense Quote"/>
    <w:basedOn w:val="Normal"/>
    <w:next w:val="Normal"/>
    <w:link w:val="IntenseQuoteChar"/>
    <w:uiPriority w:val="30"/>
    <w:qFormat/>
    <w:rsid w:val="00057B2F"/>
    <w:pPr>
      <w:pBdr>
        <w:top w:val="single" w:sz="24" w:space="4" w:color="E56A54" w:themeColor="accent2"/>
      </w:pBdr>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057B2F"/>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057B2F"/>
    <w:rPr>
      <w:i/>
      <w:iCs/>
      <w:color w:val="2C92FF" w:themeColor="text1" w:themeTint="A6"/>
    </w:rPr>
  </w:style>
  <w:style w:type="character" w:styleId="IntenseEmphasis">
    <w:name w:val="Intense Emphasis"/>
    <w:basedOn w:val="DefaultParagraphFont"/>
    <w:uiPriority w:val="21"/>
    <w:qFormat/>
    <w:rsid w:val="00057B2F"/>
    <w:rPr>
      <w:b/>
      <w:bCs/>
      <w:i/>
      <w:iCs/>
      <w:caps w:val="0"/>
      <w:smallCaps w:val="0"/>
      <w:strike w:val="0"/>
      <w:dstrike w:val="0"/>
      <w:color w:val="E56A54" w:themeColor="accent2"/>
    </w:rPr>
  </w:style>
  <w:style w:type="character" w:styleId="SubtleReference">
    <w:name w:val="Subtle Reference"/>
    <w:basedOn w:val="DefaultParagraphFont"/>
    <w:uiPriority w:val="31"/>
    <w:qFormat/>
    <w:rsid w:val="00057B2F"/>
    <w:rPr>
      <w:caps w:val="0"/>
      <w:smallCaps/>
      <w:color w:val="0D82FF" w:themeColor="text1" w:themeTint="BF"/>
      <w:spacing w:val="0"/>
      <w:u w:val="single" w:color="5CABFF"/>
    </w:rPr>
  </w:style>
  <w:style w:type="character" w:styleId="IntenseReference">
    <w:name w:val="Intense Reference"/>
    <w:basedOn w:val="DefaultParagraphFont"/>
    <w:uiPriority w:val="32"/>
    <w:qFormat/>
    <w:rsid w:val="00057B2F"/>
    <w:rPr>
      <w:b/>
      <w:bCs/>
      <w:caps w:val="0"/>
      <w:smallCaps/>
      <w:color w:val="auto"/>
      <w:spacing w:val="0"/>
      <w:u w:val="single"/>
    </w:rPr>
  </w:style>
  <w:style w:type="character" w:styleId="BookTitle">
    <w:name w:val="Book Title"/>
    <w:basedOn w:val="DefaultParagraphFont"/>
    <w:uiPriority w:val="33"/>
    <w:qFormat/>
    <w:rsid w:val="00057B2F"/>
    <w:rPr>
      <w:b/>
      <w:bCs/>
      <w:caps w:val="0"/>
      <w:smallCaps/>
      <w:spacing w:val="0"/>
    </w:rPr>
  </w:style>
  <w:style w:type="paragraph" w:styleId="TOCHeading">
    <w:name w:val="TOC Heading"/>
    <w:basedOn w:val="Heading1"/>
    <w:next w:val="Normal"/>
    <w:uiPriority w:val="39"/>
    <w:unhideWhenUsed/>
    <w:qFormat/>
    <w:rsid w:val="00057B2F"/>
    <w:pPr>
      <w:outlineLvl w:val="9"/>
    </w:pPr>
  </w:style>
  <w:style w:type="paragraph" w:styleId="Header">
    <w:name w:val="header"/>
    <w:basedOn w:val="Normal"/>
    <w:link w:val="HeaderChar"/>
    <w:uiPriority w:val="99"/>
    <w:unhideWhenUsed/>
    <w:rsid w:val="00057B2F"/>
    <w:pPr>
      <w:tabs>
        <w:tab w:val="center" w:pos="4680"/>
        <w:tab w:val="right" w:pos="9360"/>
      </w:tabs>
      <w:spacing w:after="0"/>
    </w:pPr>
  </w:style>
  <w:style w:type="character" w:customStyle="1" w:styleId="HeaderChar">
    <w:name w:val="Header Char"/>
    <w:basedOn w:val="DefaultParagraphFont"/>
    <w:link w:val="Header"/>
    <w:uiPriority w:val="99"/>
    <w:rsid w:val="00057B2F"/>
    <w:rPr>
      <w:rFonts w:ascii="Georgia" w:hAnsi="Georgia"/>
      <w:i/>
      <w:sz w:val="24"/>
    </w:rPr>
  </w:style>
  <w:style w:type="paragraph" w:styleId="Footer">
    <w:name w:val="footer"/>
    <w:basedOn w:val="Normal"/>
    <w:link w:val="FooterChar"/>
    <w:uiPriority w:val="99"/>
    <w:unhideWhenUsed/>
    <w:rsid w:val="00057B2F"/>
    <w:pPr>
      <w:tabs>
        <w:tab w:val="center" w:pos="4680"/>
        <w:tab w:val="right" w:pos="9360"/>
      </w:tabs>
      <w:spacing w:after="0"/>
    </w:pPr>
  </w:style>
  <w:style w:type="character" w:customStyle="1" w:styleId="FooterChar">
    <w:name w:val="Footer Char"/>
    <w:basedOn w:val="DefaultParagraphFont"/>
    <w:link w:val="Footer"/>
    <w:uiPriority w:val="99"/>
    <w:rsid w:val="00057B2F"/>
    <w:rPr>
      <w:rFonts w:ascii="Georgia" w:hAnsi="Georgia"/>
      <w:i/>
      <w:sz w:val="24"/>
    </w:rPr>
  </w:style>
  <w:style w:type="paragraph" w:customStyle="1" w:styleId="subsectionno">
    <w:name w:val="subsection no"/>
    <w:basedOn w:val="ListParagraph"/>
    <w:link w:val="subsectionnoChar"/>
    <w:qFormat/>
    <w:rsid w:val="00DD31DE"/>
    <w:pPr>
      <w:numPr>
        <w:numId w:val="4"/>
      </w:numPr>
      <w:contextualSpacing w:val="0"/>
    </w:pPr>
  </w:style>
  <w:style w:type="paragraph" w:customStyle="1" w:styleId="heading30">
    <w:name w:val="heading3"/>
    <w:basedOn w:val="Normal"/>
    <w:link w:val="heading3Char0"/>
    <w:rsid w:val="004B7E3F"/>
    <w:rPr>
      <w:b/>
      <w:color w:val="393939" w:themeColor="background2" w:themeShade="40"/>
      <w:sz w:val="28"/>
    </w:rPr>
  </w:style>
  <w:style w:type="character" w:customStyle="1" w:styleId="ListParagraphChar">
    <w:name w:val="List Paragraph Char"/>
    <w:basedOn w:val="DefaultParagraphFont"/>
    <w:link w:val="ListParagraph"/>
    <w:uiPriority w:val="34"/>
    <w:rsid w:val="00057B2F"/>
    <w:rPr>
      <w:rFonts w:ascii="Georgia" w:hAnsi="Georgia"/>
      <w:i/>
      <w:sz w:val="24"/>
    </w:rPr>
  </w:style>
  <w:style w:type="character" w:customStyle="1" w:styleId="subsectionnoChar">
    <w:name w:val="subsection no Char"/>
    <w:basedOn w:val="ListParagraphChar"/>
    <w:link w:val="subsectionno"/>
    <w:rsid w:val="00DD31DE"/>
    <w:rPr>
      <w:rFonts w:ascii="Georgia" w:eastAsia="Times New Roman" w:hAnsi="Georgia" w:cstheme="minorHAnsi"/>
      <w:i w:val="0"/>
      <w:sz w:val="24"/>
      <w:szCs w:val="24"/>
    </w:rPr>
  </w:style>
  <w:style w:type="paragraph" w:customStyle="1" w:styleId="bulletub">
    <w:name w:val="bulletub"/>
    <w:basedOn w:val="ListParagraph"/>
    <w:link w:val="bulletubChar"/>
    <w:qFormat/>
    <w:rsid w:val="00F839AC"/>
    <w:pPr>
      <w:numPr>
        <w:numId w:val="7"/>
      </w:numPr>
      <w:spacing w:before="120" w:after="120"/>
      <w:contextualSpacing w:val="0"/>
    </w:pPr>
  </w:style>
  <w:style w:type="character" w:customStyle="1" w:styleId="heading3Char0">
    <w:name w:val="heading3 Char"/>
    <w:basedOn w:val="DefaultParagraphFont"/>
    <w:link w:val="heading30"/>
    <w:rsid w:val="004B7E3F"/>
    <w:rPr>
      <w:rFonts w:ascii="Georgia" w:eastAsia="Times New Roman" w:hAnsi="Georgia" w:cstheme="minorHAnsi"/>
      <w:b/>
      <w:color w:val="393939" w:themeColor="background2" w:themeShade="40"/>
      <w:sz w:val="28"/>
      <w:szCs w:val="22"/>
    </w:rPr>
  </w:style>
  <w:style w:type="character" w:styleId="Hyperlink">
    <w:name w:val="Hyperlink"/>
    <w:basedOn w:val="DefaultParagraphFont"/>
    <w:uiPriority w:val="99"/>
    <w:unhideWhenUsed/>
    <w:rsid w:val="00F74156"/>
    <w:rPr>
      <w:color w:val="002F56" w:themeColor="hyperlink"/>
      <w:u w:val="single"/>
    </w:rPr>
  </w:style>
  <w:style w:type="character" w:customStyle="1" w:styleId="bulletubChar">
    <w:name w:val="bulletub Char"/>
    <w:basedOn w:val="ListParagraphChar"/>
    <w:link w:val="bulletub"/>
    <w:rsid w:val="00F839AC"/>
    <w:rPr>
      <w:rFonts w:ascii="Georgia" w:eastAsia="Times New Roman" w:hAnsi="Georgia" w:cstheme="minorHAnsi"/>
      <w:i w:val="0"/>
      <w:sz w:val="24"/>
      <w:szCs w:val="24"/>
    </w:rPr>
  </w:style>
  <w:style w:type="table" w:styleId="TableGrid">
    <w:name w:val="Table Grid"/>
    <w:basedOn w:val="TableNormal"/>
    <w:rsid w:val="003B6DB9"/>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heading30"/>
    <w:link w:val="Level3Char"/>
    <w:qFormat/>
    <w:rsid w:val="00F839AC"/>
  </w:style>
  <w:style w:type="character" w:customStyle="1" w:styleId="Level3Char">
    <w:name w:val="Level 3 Char"/>
    <w:basedOn w:val="DefaultParagraphFont"/>
    <w:link w:val="Level3"/>
    <w:rsid w:val="00F839AC"/>
    <w:rPr>
      <w:rFonts w:ascii="Georgia" w:eastAsia="Times New Roman" w:hAnsi="Georgia" w:cstheme="minorHAnsi"/>
      <w:b/>
      <w:color w:val="393939" w:themeColor="background2" w:themeShade="40"/>
      <w:sz w:val="28"/>
      <w:szCs w:val="22"/>
    </w:rPr>
  </w:style>
  <w:style w:type="paragraph" w:customStyle="1" w:styleId="Level1">
    <w:name w:val="Level 1"/>
    <w:basedOn w:val="Heading1"/>
    <w:link w:val="Level1Char"/>
    <w:qFormat/>
    <w:rsid w:val="007E7C13"/>
  </w:style>
  <w:style w:type="paragraph" w:customStyle="1" w:styleId="Level2">
    <w:name w:val="Level 2"/>
    <w:basedOn w:val="newlist"/>
    <w:link w:val="Level2Char"/>
    <w:qFormat/>
    <w:rsid w:val="006043B5"/>
    <w:pPr>
      <w:numPr>
        <w:numId w:val="3"/>
      </w:numPr>
      <w:spacing w:before="240"/>
    </w:pPr>
  </w:style>
  <w:style w:type="character" w:customStyle="1" w:styleId="Level1Char">
    <w:name w:val="Level 1 Char"/>
    <w:basedOn w:val="DefaultParagraphFont"/>
    <w:link w:val="Level1"/>
    <w:rsid w:val="007E7C13"/>
    <w:rPr>
      <w:rFonts w:ascii="Georgia" w:eastAsiaTheme="majorEastAsia" w:hAnsi="Georgia" w:cstheme="majorBidi"/>
      <w:color w:val="002F56"/>
      <w:sz w:val="36"/>
      <w:szCs w:val="40"/>
    </w:rPr>
  </w:style>
  <w:style w:type="character" w:customStyle="1" w:styleId="Level2Char">
    <w:name w:val="Level 2 Char"/>
    <w:basedOn w:val="Level1Char"/>
    <w:link w:val="Level2"/>
    <w:rsid w:val="006043B5"/>
    <w:rPr>
      <w:rFonts w:ascii="Georgia" w:eastAsiaTheme="majorEastAsia" w:hAnsi="Georgia" w:cstheme="majorBidi"/>
      <w:color w:val="990000"/>
      <w:sz w:val="32"/>
      <w:szCs w:val="36"/>
    </w:rPr>
  </w:style>
  <w:style w:type="character" w:customStyle="1" w:styleId="NoSpacingChar">
    <w:name w:val="No Spacing Char"/>
    <w:basedOn w:val="DefaultParagraphFont"/>
    <w:link w:val="NoSpacing"/>
    <w:uiPriority w:val="1"/>
    <w:rsid w:val="003B6DB9"/>
  </w:style>
  <w:style w:type="paragraph" w:customStyle="1" w:styleId="MYSTYLE">
    <w:name w:val="MYSTYLE"/>
    <w:basedOn w:val="Normal"/>
    <w:link w:val="MYSTYLEChar"/>
    <w:rsid w:val="003B6DB9"/>
    <w:pPr>
      <w:spacing w:after="0" w:line="360" w:lineRule="auto"/>
      <w:ind w:left="0"/>
    </w:pPr>
    <w:rPr>
      <w:rFonts w:ascii="Arial" w:eastAsiaTheme="minorHAnsi" w:hAnsi="Arial" w:cs="Arial"/>
      <w:b/>
      <w:color w:val="FF2828" w:themeColor="text2" w:themeTint="99"/>
      <w:sz w:val="28"/>
      <w:szCs w:val="28"/>
      <w:lang w:bidi="en-US"/>
    </w:rPr>
  </w:style>
  <w:style w:type="character" w:customStyle="1" w:styleId="MYSTYLEChar">
    <w:name w:val="MYSTYLE Char"/>
    <w:basedOn w:val="DefaultParagraphFont"/>
    <w:link w:val="MYSTYLE"/>
    <w:rsid w:val="003B6DB9"/>
    <w:rPr>
      <w:rFonts w:ascii="Arial" w:eastAsiaTheme="minorHAnsi" w:hAnsi="Arial" w:cs="Arial"/>
      <w:b/>
      <w:color w:val="FF2828" w:themeColor="text2" w:themeTint="99"/>
      <w:sz w:val="28"/>
      <w:szCs w:val="28"/>
      <w:lang w:bidi="en-US"/>
    </w:rPr>
  </w:style>
  <w:style w:type="paragraph" w:styleId="BalloonText">
    <w:name w:val="Balloon Text"/>
    <w:basedOn w:val="Normal"/>
    <w:link w:val="BalloonTextChar"/>
    <w:uiPriority w:val="99"/>
    <w:unhideWhenUsed/>
    <w:rsid w:val="003B6DB9"/>
    <w:pPr>
      <w:spacing w:after="0"/>
      <w:ind w:left="0"/>
    </w:pPr>
    <w:rPr>
      <w:rFonts w:ascii="Tahoma" w:eastAsiaTheme="minorHAnsi" w:hAnsi="Tahoma" w:cs="Tahoma"/>
      <w:sz w:val="16"/>
      <w:szCs w:val="16"/>
      <w:lang w:bidi="en-US"/>
    </w:rPr>
  </w:style>
  <w:style w:type="character" w:customStyle="1" w:styleId="BalloonTextChar">
    <w:name w:val="Balloon Text Char"/>
    <w:basedOn w:val="DefaultParagraphFont"/>
    <w:link w:val="BalloonText"/>
    <w:uiPriority w:val="99"/>
    <w:rsid w:val="003B6DB9"/>
    <w:rPr>
      <w:rFonts w:ascii="Tahoma" w:eastAsiaTheme="minorHAnsi" w:hAnsi="Tahoma" w:cs="Tahoma"/>
      <w:sz w:val="16"/>
      <w:szCs w:val="16"/>
      <w:lang w:bidi="en-US"/>
    </w:rPr>
  </w:style>
  <w:style w:type="paragraph" w:customStyle="1" w:styleId="Topic">
    <w:name w:val="Topic"/>
    <w:basedOn w:val="Normal"/>
    <w:link w:val="TopicChar"/>
    <w:qFormat/>
    <w:rsid w:val="003B6DB9"/>
    <w:pPr>
      <w:spacing w:after="0"/>
      <w:ind w:left="0"/>
    </w:pPr>
    <w:rPr>
      <w:rFonts w:asciiTheme="minorHAnsi" w:eastAsiaTheme="minorHAnsi" w:hAnsiTheme="minorHAnsi" w:cstheme="minorBidi"/>
      <w:b/>
      <w:color w:val="FF2828" w:themeColor="text2" w:themeTint="99"/>
      <w:sz w:val="28"/>
      <w:lang w:bidi="en-US"/>
    </w:rPr>
  </w:style>
  <w:style w:type="character" w:customStyle="1" w:styleId="TopicChar">
    <w:name w:val="Topic Char"/>
    <w:basedOn w:val="DefaultParagraphFont"/>
    <w:link w:val="Topic"/>
    <w:rsid w:val="003B6DB9"/>
    <w:rPr>
      <w:rFonts w:eastAsiaTheme="minorHAnsi"/>
      <w:b/>
      <w:color w:val="FF2828" w:themeColor="text2" w:themeTint="99"/>
      <w:sz w:val="28"/>
      <w:szCs w:val="22"/>
      <w:lang w:bidi="en-US"/>
    </w:rPr>
  </w:style>
  <w:style w:type="paragraph" w:styleId="TOC1">
    <w:name w:val="toc 1"/>
    <w:basedOn w:val="Normal"/>
    <w:next w:val="Normal"/>
    <w:uiPriority w:val="39"/>
    <w:unhideWhenUsed/>
    <w:rsid w:val="008C02E1"/>
    <w:pPr>
      <w:tabs>
        <w:tab w:val="right" w:leader="dot" w:pos="9350"/>
      </w:tabs>
      <w:spacing w:before="120" w:after="120"/>
      <w:ind w:left="0"/>
    </w:pPr>
    <w:rPr>
      <w:rFonts w:eastAsiaTheme="minorHAnsi" w:cstheme="minorBidi"/>
      <w:b/>
      <w:bCs/>
      <w:caps/>
      <w:noProof/>
      <w:sz w:val="28"/>
      <w:szCs w:val="20"/>
      <w:lang w:bidi="en-US"/>
    </w:rPr>
  </w:style>
  <w:style w:type="paragraph" w:styleId="TOC2">
    <w:name w:val="toc 2"/>
    <w:basedOn w:val="Normal"/>
    <w:next w:val="Normal"/>
    <w:autoRedefine/>
    <w:uiPriority w:val="39"/>
    <w:unhideWhenUsed/>
    <w:rsid w:val="00AC3D00"/>
    <w:pPr>
      <w:tabs>
        <w:tab w:val="left" w:pos="660"/>
        <w:tab w:val="right" w:leader="dot" w:pos="9350"/>
      </w:tabs>
      <w:spacing w:before="0" w:after="0" w:line="240" w:lineRule="auto"/>
      <w:ind w:left="216"/>
    </w:pPr>
    <w:rPr>
      <w:rFonts w:eastAsiaTheme="minorHAnsi" w:cstheme="minorBidi"/>
      <w:smallCaps/>
      <w:noProof/>
      <w:szCs w:val="20"/>
      <w:lang w:bidi="en-US"/>
    </w:rPr>
  </w:style>
  <w:style w:type="paragraph" w:styleId="TOC3">
    <w:name w:val="toc 3"/>
    <w:basedOn w:val="Normal"/>
    <w:next w:val="Normal"/>
    <w:autoRedefine/>
    <w:uiPriority w:val="39"/>
    <w:unhideWhenUsed/>
    <w:rsid w:val="003B6DB9"/>
    <w:pPr>
      <w:spacing w:after="0"/>
      <w:ind w:left="440"/>
    </w:pPr>
    <w:rPr>
      <w:rFonts w:asciiTheme="minorHAnsi" w:eastAsiaTheme="minorHAnsi" w:hAnsiTheme="minorHAnsi" w:cstheme="minorBidi"/>
      <w:i/>
      <w:iCs/>
      <w:sz w:val="20"/>
      <w:szCs w:val="20"/>
      <w:lang w:bidi="en-US"/>
    </w:rPr>
  </w:style>
  <w:style w:type="paragraph" w:styleId="TOC4">
    <w:name w:val="toc 4"/>
    <w:basedOn w:val="Normal"/>
    <w:next w:val="Normal"/>
    <w:autoRedefine/>
    <w:uiPriority w:val="39"/>
    <w:unhideWhenUsed/>
    <w:rsid w:val="003B6DB9"/>
    <w:pPr>
      <w:spacing w:after="0"/>
      <w:ind w:left="660"/>
    </w:pPr>
    <w:rPr>
      <w:rFonts w:asciiTheme="minorHAnsi" w:eastAsiaTheme="minorHAnsi" w:hAnsiTheme="minorHAnsi" w:cstheme="minorBidi"/>
      <w:sz w:val="18"/>
      <w:szCs w:val="18"/>
      <w:lang w:bidi="en-US"/>
    </w:rPr>
  </w:style>
  <w:style w:type="paragraph" w:styleId="TOC5">
    <w:name w:val="toc 5"/>
    <w:basedOn w:val="Normal"/>
    <w:next w:val="Normal"/>
    <w:autoRedefine/>
    <w:uiPriority w:val="39"/>
    <w:unhideWhenUsed/>
    <w:rsid w:val="003B6DB9"/>
    <w:pPr>
      <w:spacing w:after="0"/>
      <w:ind w:left="880"/>
    </w:pPr>
    <w:rPr>
      <w:rFonts w:asciiTheme="minorHAnsi" w:eastAsiaTheme="minorHAnsi" w:hAnsiTheme="minorHAnsi" w:cstheme="minorBidi"/>
      <w:sz w:val="18"/>
      <w:szCs w:val="18"/>
      <w:lang w:bidi="en-US"/>
    </w:rPr>
  </w:style>
  <w:style w:type="paragraph" w:styleId="TOC6">
    <w:name w:val="toc 6"/>
    <w:basedOn w:val="Normal"/>
    <w:next w:val="Normal"/>
    <w:autoRedefine/>
    <w:uiPriority w:val="39"/>
    <w:unhideWhenUsed/>
    <w:rsid w:val="003B6DB9"/>
    <w:pPr>
      <w:spacing w:after="0"/>
      <w:ind w:left="1100"/>
    </w:pPr>
    <w:rPr>
      <w:rFonts w:asciiTheme="minorHAnsi" w:eastAsiaTheme="minorHAnsi" w:hAnsiTheme="minorHAnsi" w:cstheme="minorBidi"/>
      <w:sz w:val="18"/>
      <w:szCs w:val="18"/>
      <w:lang w:bidi="en-US"/>
    </w:rPr>
  </w:style>
  <w:style w:type="paragraph" w:styleId="TOC7">
    <w:name w:val="toc 7"/>
    <w:basedOn w:val="Normal"/>
    <w:next w:val="Normal"/>
    <w:autoRedefine/>
    <w:uiPriority w:val="39"/>
    <w:unhideWhenUsed/>
    <w:rsid w:val="003B6DB9"/>
    <w:pPr>
      <w:spacing w:after="0"/>
      <w:ind w:left="1320"/>
    </w:pPr>
    <w:rPr>
      <w:rFonts w:asciiTheme="minorHAnsi" w:eastAsiaTheme="minorHAnsi" w:hAnsiTheme="minorHAnsi" w:cstheme="minorBidi"/>
      <w:sz w:val="18"/>
      <w:szCs w:val="18"/>
      <w:lang w:bidi="en-US"/>
    </w:rPr>
  </w:style>
  <w:style w:type="paragraph" w:styleId="TOC8">
    <w:name w:val="toc 8"/>
    <w:basedOn w:val="Normal"/>
    <w:next w:val="Normal"/>
    <w:autoRedefine/>
    <w:uiPriority w:val="39"/>
    <w:unhideWhenUsed/>
    <w:rsid w:val="003B6DB9"/>
    <w:pPr>
      <w:spacing w:after="0"/>
      <w:ind w:left="1540"/>
    </w:pPr>
    <w:rPr>
      <w:rFonts w:asciiTheme="minorHAnsi" w:eastAsiaTheme="minorHAnsi" w:hAnsiTheme="minorHAnsi" w:cstheme="minorBidi"/>
      <w:sz w:val="18"/>
      <w:szCs w:val="18"/>
      <w:lang w:bidi="en-US"/>
    </w:rPr>
  </w:style>
  <w:style w:type="paragraph" w:styleId="TOC9">
    <w:name w:val="toc 9"/>
    <w:basedOn w:val="Normal"/>
    <w:next w:val="Normal"/>
    <w:autoRedefine/>
    <w:uiPriority w:val="39"/>
    <w:unhideWhenUsed/>
    <w:rsid w:val="003B6DB9"/>
    <w:pPr>
      <w:spacing w:after="0"/>
      <w:ind w:left="1760"/>
    </w:pPr>
    <w:rPr>
      <w:rFonts w:asciiTheme="minorHAnsi" w:eastAsiaTheme="minorHAnsi" w:hAnsiTheme="minorHAnsi" w:cstheme="minorBidi"/>
      <w:sz w:val="18"/>
      <w:szCs w:val="18"/>
      <w:lang w:bidi="en-US"/>
    </w:rPr>
  </w:style>
  <w:style w:type="paragraph" w:customStyle="1" w:styleId="TableofContents">
    <w:name w:val="Table of Contents"/>
    <w:basedOn w:val="Level1"/>
    <w:link w:val="TableofContentsChar"/>
    <w:qFormat/>
    <w:rsid w:val="003B6DB9"/>
  </w:style>
  <w:style w:type="character" w:customStyle="1" w:styleId="TableofContentsChar">
    <w:name w:val="Table of Contents Char"/>
    <w:basedOn w:val="Level1Char"/>
    <w:link w:val="TableofContents"/>
    <w:rsid w:val="003B6DB9"/>
    <w:rPr>
      <w:rFonts w:ascii="Georgia" w:eastAsiaTheme="minorHAnsi" w:hAnsi="Georgia" w:cs="Times New Roman"/>
      <w:b w:val="0"/>
      <w:color w:val="002F56"/>
      <w:sz w:val="26"/>
      <w:szCs w:val="22"/>
      <w:lang w:bidi="en-US"/>
    </w:rPr>
  </w:style>
  <w:style w:type="table" w:customStyle="1" w:styleId="MediumShading2-Accent11">
    <w:name w:val="Medium Shading 2 - Accent 11"/>
    <w:basedOn w:val="TableNormal"/>
    <w:uiPriority w:val="64"/>
    <w:rsid w:val="003B6DB9"/>
    <w:pPr>
      <w:spacing w:after="0" w:line="240" w:lineRule="auto"/>
    </w:pPr>
    <w:rPr>
      <w:rFonts w:eastAsiaTheme="minorHAns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9FD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9FD0" w:themeFill="accent1"/>
      </w:tcPr>
    </w:tblStylePr>
    <w:tblStylePr w:type="lastCol">
      <w:rPr>
        <w:b/>
        <w:bCs/>
        <w:color w:val="FFFFFF" w:themeColor="background1"/>
      </w:rPr>
      <w:tblPr/>
      <w:tcPr>
        <w:tcBorders>
          <w:left w:val="nil"/>
          <w:right w:val="nil"/>
          <w:insideH w:val="nil"/>
          <w:insideV w:val="nil"/>
        </w:tcBorders>
        <w:shd w:val="clear" w:color="auto" w:fill="2F9FD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ableTitle">
    <w:name w:val="Table Title"/>
    <w:basedOn w:val="Level2"/>
    <w:link w:val="TableTitleChar"/>
    <w:qFormat/>
    <w:rsid w:val="003B6DB9"/>
    <w:pPr>
      <w:ind w:left="-360"/>
      <w:contextualSpacing/>
      <w:jc w:val="center"/>
    </w:pPr>
    <w:rPr>
      <w:sz w:val="20"/>
      <w:szCs w:val="20"/>
    </w:rPr>
  </w:style>
  <w:style w:type="table" w:styleId="MediumShading2-Accent5">
    <w:name w:val="Medium Shading 2 Accent 5"/>
    <w:basedOn w:val="TableNormal"/>
    <w:uiPriority w:val="64"/>
    <w:rsid w:val="003B6DB9"/>
    <w:pPr>
      <w:spacing w:after="0" w:line="240" w:lineRule="auto"/>
    </w:pPr>
    <w:rPr>
      <w:rFonts w:eastAsiaTheme="minorHAns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841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841F" w:themeFill="accent5"/>
      </w:tcPr>
    </w:tblStylePr>
    <w:tblStylePr w:type="lastCol">
      <w:rPr>
        <w:b/>
        <w:bCs/>
        <w:color w:val="FFFFFF" w:themeColor="background1"/>
      </w:rPr>
      <w:tblPr/>
      <w:tcPr>
        <w:tcBorders>
          <w:left w:val="nil"/>
          <w:right w:val="nil"/>
          <w:insideH w:val="nil"/>
          <w:insideV w:val="nil"/>
        </w:tcBorders>
        <w:shd w:val="clear" w:color="auto" w:fill="AD841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ableTitleChar">
    <w:name w:val="Table Title Char"/>
    <w:basedOn w:val="Level2Char"/>
    <w:link w:val="TableTitle"/>
    <w:rsid w:val="003B6DB9"/>
    <w:rPr>
      <w:rFonts w:ascii="Georgia" w:eastAsiaTheme="majorEastAsia" w:hAnsi="Georgia" w:cstheme="majorBidi"/>
      <w:color w:val="990000"/>
      <w:sz w:val="20"/>
      <w:szCs w:val="20"/>
    </w:rPr>
  </w:style>
  <w:style w:type="table" w:styleId="MediumList2-Accent5">
    <w:name w:val="Medium List 2 Accent 5"/>
    <w:basedOn w:val="TableNormal"/>
    <w:uiPriority w:val="66"/>
    <w:rsid w:val="003B6DB9"/>
    <w:pPr>
      <w:spacing w:after="0" w:line="240" w:lineRule="auto"/>
    </w:pPr>
    <w:rPr>
      <w:rFonts w:asciiTheme="majorHAnsi" w:eastAsiaTheme="majorEastAsia" w:hAnsiTheme="majorHAnsi" w:cstheme="majorBidi"/>
      <w:color w:val="005BBB" w:themeColor="text1"/>
      <w:sz w:val="22"/>
      <w:szCs w:val="22"/>
      <w:lang w:bidi="en-US"/>
    </w:rPr>
    <w:tblPr>
      <w:tblStyleRowBandSize w:val="1"/>
      <w:tblStyleColBandSize w:val="1"/>
      <w:tblBorders>
        <w:top w:val="single" w:sz="8" w:space="0" w:color="AD841F" w:themeColor="accent5"/>
        <w:left w:val="single" w:sz="8" w:space="0" w:color="AD841F" w:themeColor="accent5"/>
        <w:bottom w:val="single" w:sz="8" w:space="0" w:color="AD841F" w:themeColor="accent5"/>
        <w:right w:val="single" w:sz="8" w:space="0" w:color="AD841F" w:themeColor="accent5"/>
      </w:tblBorders>
    </w:tblPr>
    <w:tblStylePr w:type="firstRow">
      <w:rPr>
        <w:sz w:val="24"/>
        <w:szCs w:val="24"/>
      </w:rPr>
      <w:tblPr/>
      <w:tcPr>
        <w:tcBorders>
          <w:top w:val="nil"/>
          <w:left w:val="nil"/>
          <w:bottom w:val="single" w:sz="24" w:space="0" w:color="AD841F" w:themeColor="accent5"/>
          <w:right w:val="nil"/>
          <w:insideH w:val="nil"/>
          <w:insideV w:val="nil"/>
        </w:tcBorders>
        <w:shd w:val="clear" w:color="auto" w:fill="FFFFFF" w:themeFill="background1"/>
      </w:tcPr>
    </w:tblStylePr>
    <w:tblStylePr w:type="lastRow">
      <w:tblPr/>
      <w:tcPr>
        <w:tcBorders>
          <w:top w:val="single" w:sz="8" w:space="0" w:color="AD841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841F" w:themeColor="accent5"/>
          <w:insideH w:val="nil"/>
          <w:insideV w:val="nil"/>
        </w:tcBorders>
        <w:shd w:val="clear" w:color="auto" w:fill="FFFFFF" w:themeFill="background1"/>
      </w:tcPr>
    </w:tblStylePr>
    <w:tblStylePr w:type="lastCol">
      <w:tblPr/>
      <w:tcPr>
        <w:tcBorders>
          <w:top w:val="nil"/>
          <w:left w:val="single" w:sz="8" w:space="0" w:color="AD841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4BE" w:themeFill="accent5" w:themeFillTint="3F"/>
      </w:tcPr>
    </w:tblStylePr>
    <w:tblStylePr w:type="band1Horz">
      <w:tblPr/>
      <w:tcPr>
        <w:tcBorders>
          <w:top w:val="nil"/>
          <w:bottom w:val="nil"/>
          <w:insideH w:val="nil"/>
          <w:insideV w:val="nil"/>
        </w:tcBorders>
        <w:shd w:val="clear" w:color="auto" w:fill="F3E4B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3B6DB9"/>
    <w:pPr>
      <w:spacing w:after="0" w:line="240" w:lineRule="auto"/>
    </w:pPr>
    <w:rPr>
      <w:rFonts w:eastAsiaTheme="minorHAnsi"/>
      <w:color w:val="005BBB" w:themeColor="text1"/>
      <w:sz w:val="22"/>
      <w:szCs w:val="22"/>
      <w:lang w:bidi="en-US"/>
    </w:rPr>
    <w:tblPr>
      <w:tblStyleRowBandSize w:val="1"/>
      <w:tblStyleColBandSize w:val="1"/>
      <w:tblBorders>
        <w:insideH w:val="single" w:sz="4" w:space="0" w:color="FFFFFF" w:themeColor="background1"/>
      </w:tblBorders>
    </w:tblPr>
    <w:tcPr>
      <w:shd w:val="clear" w:color="auto" w:fill="F5E9CA" w:themeFill="accent5" w:themeFillTint="33"/>
    </w:tcPr>
    <w:tblStylePr w:type="firstRow">
      <w:rPr>
        <w:b/>
        <w:bCs/>
      </w:rPr>
      <w:tblPr/>
      <w:tcPr>
        <w:shd w:val="clear" w:color="auto" w:fill="ECD396" w:themeFill="accent5" w:themeFillTint="66"/>
      </w:tcPr>
    </w:tblStylePr>
    <w:tblStylePr w:type="lastRow">
      <w:rPr>
        <w:b/>
        <w:bCs/>
        <w:color w:val="005BBB" w:themeColor="text1"/>
      </w:rPr>
      <w:tblPr/>
      <w:tcPr>
        <w:shd w:val="clear" w:color="auto" w:fill="ECD396" w:themeFill="accent5" w:themeFillTint="66"/>
      </w:tcPr>
    </w:tblStylePr>
    <w:tblStylePr w:type="firstCol">
      <w:rPr>
        <w:color w:val="FFFFFF" w:themeColor="background1"/>
      </w:rPr>
      <w:tblPr/>
      <w:tcPr>
        <w:shd w:val="clear" w:color="auto" w:fill="816217" w:themeFill="accent5" w:themeFillShade="BF"/>
      </w:tcPr>
    </w:tblStylePr>
    <w:tblStylePr w:type="lastCol">
      <w:rPr>
        <w:color w:val="FFFFFF" w:themeColor="background1"/>
      </w:rPr>
      <w:tblPr/>
      <w:tcPr>
        <w:shd w:val="clear" w:color="auto" w:fill="816217" w:themeFill="accent5" w:themeFillShade="BF"/>
      </w:tcPr>
    </w:tblStylePr>
    <w:tblStylePr w:type="band1Vert">
      <w:tblPr/>
      <w:tcPr>
        <w:shd w:val="clear" w:color="auto" w:fill="E7C87D" w:themeFill="accent5" w:themeFillTint="7F"/>
      </w:tcPr>
    </w:tblStylePr>
    <w:tblStylePr w:type="band1Horz">
      <w:tblPr/>
      <w:tcPr>
        <w:shd w:val="clear" w:color="auto" w:fill="E7C87D" w:themeFill="accent5" w:themeFillTint="7F"/>
      </w:tcPr>
    </w:tblStylePr>
  </w:style>
  <w:style w:type="table" w:customStyle="1" w:styleId="ColorfulList1">
    <w:name w:val="Colorful List1"/>
    <w:basedOn w:val="TableNormal"/>
    <w:uiPriority w:val="72"/>
    <w:rsid w:val="003B6DB9"/>
    <w:pPr>
      <w:spacing w:after="0" w:line="240" w:lineRule="auto"/>
    </w:pPr>
    <w:rPr>
      <w:rFonts w:eastAsiaTheme="minorHAnsi"/>
      <w:color w:val="005BBB" w:themeColor="text1"/>
      <w:sz w:val="22"/>
      <w:szCs w:val="22"/>
      <w:lang w:bidi="en-US"/>
    </w:rPr>
    <w:tblPr>
      <w:tblStyleRowBandSize w:val="1"/>
      <w:tblStyleColBandSize w:val="1"/>
    </w:tblPr>
    <w:tcPr>
      <w:shd w:val="clear" w:color="auto" w:fill="DFEEFF" w:themeFill="text1" w:themeFillTint="19"/>
    </w:tcPr>
    <w:tblStylePr w:type="firstRow">
      <w:rPr>
        <w:b/>
        <w:bCs/>
        <w:color w:val="FFFFFF" w:themeColor="background1"/>
      </w:rPr>
      <w:tblPr/>
      <w:tcPr>
        <w:tcBorders>
          <w:bottom w:val="single" w:sz="12" w:space="0" w:color="FFFFFF" w:themeColor="background1"/>
        </w:tcBorders>
        <w:shd w:val="clear" w:color="auto" w:fill="D93C21" w:themeFill="accent2" w:themeFillShade="CC"/>
      </w:tcPr>
    </w:tblStylePr>
    <w:tblStylePr w:type="lastRow">
      <w:rPr>
        <w:b/>
        <w:bCs/>
        <w:color w:val="D93C21" w:themeColor="accent2" w:themeShade="CC"/>
      </w:rPr>
      <w:tblPr/>
      <w:tcPr>
        <w:tcBorders>
          <w:top w:val="single" w:sz="12" w:space="0" w:color="005BB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5FF" w:themeFill="text1" w:themeFillTint="3F"/>
      </w:tcPr>
    </w:tblStylePr>
    <w:tblStylePr w:type="band1Horz">
      <w:tblPr/>
      <w:tcPr>
        <w:shd w:val="clear" w:color="auto" w:fill="BEDDFF" w:themeFill="text1" w:themeFillTint="33"/>
      </w:tcPr>
    </w:tblStylePr>
  </w:style>
  <w:style w:type="table" w:styleId="MediumList2-Accent1">
    <w:name w:val="Medium List 2 Accent 1"/>
    <w:basedOn w:val="TableNormal"/>
    <w:uiPriority w:val="66"/>
    <w:rsid w:val="003B6DB9"/>
    <w:pPr>
      <w:spacing w:after="0" w:line="240" w:lineRule="auto"/>
    </w:pPr>
    <w:rPr>
      <w:rFonts w:asciiTheme="majorHAnsi" w:eastAsiaTheme="majorEastAsia" w:hAnsiTheme="majorHAnsi" w:cstheme="majorBidi"/>
      <w:color w:val="005BBB" w:themeColor="text1"/>
      <w:sz w:val="22"/>
      <w:szCs w:val="22"/>
      <w:lang w:bidi="en-US"/>
    </w:rPr>
    <w:tblPr>
      <w:tblStyleRowBandSize w:val="1"/>
      <w:tblStyleColBandSize w:val="1"/>
      <w:tblBorders>
        <w:top w:val="single" w:sz="8" w:space="0" w:color="2F9FD0" w:themeColor="accent1"/>
        <w:left w:val="single" w:sz="8" w:space="0" w:color="2F9FD0" w:themeColor="accent1"/>
        <w:bottom w:val="single" w:sz="8" w:space="0" w:color="2F9FD0" w:themeColor="accent1"/>
        <w:right w:val="single" w:sz="8" w:space="0" w:color="2F9FD0" w:themeColor="accent1"/>
      </w:tblBorders>
    </w:tblPr>
    <w:tblStylePr w:type="firstRow">
      <w:rPr>
        <w:sz w:val="24"/>
        <w:szCs w:val="24"/>
      </w:rPr>
      <w:tblPr/>
      <w:tcPr>
        <w:tcBorders>
          <w:top w:val="nil"/>
          <w:left w:val="nil"/>
          <w:bottom w:val="single" w:sz="24" w:space="0" w:color="2F9FD0" w:themeColor="accent1"/>
          <w:right w:val="nil"/>
          <w:insideH w:val="nil"/>
          <w:insideV w:val="nil"/>
        </w:tcBorders>
        <w:shd w:val="clear" w:color="auto" w:fill="FFFFFF" w:themeFill="background1"/>
      </w:tcPr>
    </w:tblStylePr>
    <w:tblStylePr w:type="lastRow">
      <w:tblPr/>
      <w:tcPr>
        <w:tcBorders>
          <w:top w:val="single" w:sz="8" w:space="0" w:color="2F9FD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9FD0" w:themeColor="accent1"/>
          <w:insideH w:val="nil"/>
          <w:insideV w:val="nil"/>
        </w:tcBorders>
        <w:shd w:val="clear" w:color="auto" w:fill="FFFFFF" w:themeFill="background1"/>
      </w:tcPr>
    </w:tblStylePr>
    <w:tblStylePr w:type="lastCol">
      <w:tblPr/>
      <w:tcPr>
        <w:tcBorders>
          <w:top w:val="nil"/>
          <w:left w:val="single" w:sz="8" w:space="0" w:color="2F9FD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7F3" w:themeFill="accent1" w:themeFillTint="3F"/>
      </w:tcPr>
    </w:tblStylePr>
    <w:tblStylePr w:type="band1Horz">
      <w:tblPr/>
      <w:tcPr>
        <w:tcBorders>
          <w:top w:val="nil"/>
          <w:bottom w:val="nil"/>
          <w:insideH w:val="nil"/>
          <w:insideV w:val="nil"/>
        </w:tcBorders>
        <w:shd w:val="clear" w:color="auto" w:fill="CBE7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4">
    <w:name w:val="Medium Shading 2 Accent 4"/>
    <w:basedOn w:val="TableNormal"/>
    <w:uiPriority w:val="64"/>
    <w:rsid w:val="003B6DB9"/>
    <w:pPr>
      <w:spacing w:after="0" w:line="240" w:lineRule="auto"/>
    </w:pPr>
    <w:rPr>
      <w:rFonts w:eastAsiaTheme="minorHAns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4"/>
      </w:tcPr>
    </w:tblStylePr>
    <w:tblStylePr w:type="lastCol">
      <w:rPr>
        <w:b/>
        <w:bCs/>
        <w:color w:val="FFFFFF" w:themeColor="background1"/>
      </w:rPr>
      <w:tblPr/>
      <w:tcPr>
        <w:tcBorders>
          <w:left w:val="nil"/>
          <w:right w:val="nil"/>
          <w:insideH w:val="nil"/>
          <w:insideV w:val="nil"/>
        </w:tcBorders>
        <w:shd w:val="clear" w:color="auto" w:fill="FFC7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4">
    <w:name w:val="Medium List 2 Accent 4"/>
    <w:basedOn w:val="TableNormal"/>
    <w:uiPriority w:val="66"/>
    <w:rsid w:val="003B6DB9"/>
    <w:pPr>
      <w:spacing w:after="0" w:line="240" w:lineRule="auto"/>
    </w:pPr>
    <w:rPr>
      <w:rFonts w:asciiTheme="majorHAnsi" w:eastAsiaTheme="majorEastAsia" w:hAnsiTheme="majorHAnsi" w:cstheme="majorBidi"/>
      <w:color w:val="005BBB" w:themeColor="text1"/>
      <w:sz w:val="22"/>
      <w:szCs w:val="22"/>
      <w:lang w:bidi="en-US"/>
    </w:rPr>
    <w:tblPr>
      <w:tblStyleRowBandSize w:val="1"/>
      <w:tblStyleColBandSize w:val="1"/>
      <w:tblBorders>
        <w:top w:val="single" w:sz="8" w:space="0" w:color="FFC72C" w:themeColor="accent4"/>
        <w:left w:val="single" w:sz="8" w:space="0" w:color="FFC72C" w:themeColor="accent4"/>
        <w:bottom w:val="single" w:sz="8" w:space="0" w:color="FFC72C" w:themeColor="accent4"/>
        <w:right w:val="single" w:sz="8" w:space="0" w:color="FFC72C" w:themeColor="accent4"/>
      </w:tblBorders>
    </w:tblPr>
    <w:tblStylePr w:type="firstRow">
      <w:rPr>
        <w:sz w:val="24"/>
        <w:szCs w:val="24"/>
      </w:rPr>
      <w:tblPr/>
      <w:tcPr>
        <w:tcBorders>
          <w:top w:val="nil"/>
          <w:left w:val="nil"/>
          <w:bottom w:val="single" w:sz="24" w:space="0" w:color="FFC72C" w:themeColor="accent4"/>
          <w:right w:val="nil"/>
          <w:insideH w:val="nil"/>
          <w:insideV w:val="nil"/>
        </w:tcBorders>
        <w:shd w:val="clear" w:color="auto" w:fill="FFFFFF" w:themeFill="background1"/>
      </w:tcPr>
    </w:tblStylePr>
    <w:tblStylePr w:type="lastRow">
      <w:tblPr/>
      <w:tcPr>
        <w:tcBorders>
          <w:top w:val="single" w:sz="8" w:space="0" w:color="FFC72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4"/>
          <w:insideH w:val="nil"/>
          <w:insideV w:val="nil"/>
        </w:tcBorders>
        <w:shd w:val="clear" w:color="auto" w:fill="FFFFFF" w:themeFill="background1"/>
      </w:tcPr>
    </w:tblStylePr>
    <w:tblStylePr w:type="lastCol">
      <w:tblPr/>
      <w:tcPr>
        <w:tcBorders>
          <w:top w:val="nil"/>
          <w:left w:val="single" w:sz="8" w:space="0" w:color="FFC72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4" w:themeFillTint="3F"/>
      </w:tcPr>
    </w:tblStylePr>
    <w:tblStylePr w:type="band1Horz">
      <w:tblPr/>
      <w:tcPr>
        <w:tcBorders>
          <w:top w:val="nil"/>
          <w:bottom w:val="nil"/>
          <w:insideH w:val="nil"/>
          <w:insideV w:val="nil"/>
        </w:tcBorders>
        <w:shd w:val="clear" w:color="auto" w:fill="FFF1C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1">
    <w:name w:val="Colorful List Accent 1"/>
    <w:basedOn w:val="TableNormal"/>
    <w:uiPriority w:val="72"/>
    <w:rsid w:val="003B6DB9"/>
    <w:pPr>
      <w:spacing w:after="0" w:line="240" w:lineRule="auto"/>
    </w:pPr>
    <w:rPr>
      <w:rFonts w:eastAsiaTheme="minorHAnsi"/>
      <w:color w:val="005BBB" w:themeColor="text1"/>
      <w:sz w:val="22"/>
      <w:szCs w:val="22"/>
      <w:lang w:bidi="en-US"/>
    </w:rPr>
    <w:tblPr>
      <w:tblStyleRowBandSize w:val="1"/>
      <w:tblStyleColBandSize w:val="1"/>
    </w:tblPr>
    <w:tcPr>
      <w:shd w:val="clear" w:color="auto" w:fill="EAF5FA" w:themeFill="accent1" w:themeFillTint="19"/>
    </w:tcPr>
    <w:tblStylePr w:type="firstRow">
      <w:rPr>
        <w:b/>
        <w:bCs/>
        <w:color w:val="FFFFFF" w:themeColor="background1"/>
      </w:rPr>
      <w:tblPr/>
      <w:tcPr>
        <w:tcBorders>
          <w:bottom w:val="single" w:sz="12" w:space="0" w:color="FFFFFF" w:themeColor="background1"/>
        </w:tcBorders>
        <w:shd w:val="clear" w:color="auto" w:fill="D93C21" w:themeFill="accent2" w:themeFillShade="CC"/>
      </w:tcPr>
    </w:tblStylePr>
    <w:tblStylePr w:type="lastRow">
      <w:rPr>
        <w:b/>
        <w:bCs/>
        <w:color w:val="D93C21" w:themeColor="accent2" w:themeShade="CC"/>
      </w:rPr>
      <w:tblPr/>
      <w:tcPr>
        <w:tcBorders>
          <w:top w:val="single" w:sz="12" w:space="0" w:color="005BB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7F3" w:themeFill="accent1" w:themeFillTint="3F"/>
      </w:tcPr>
    </w:tblStylePr>
    <w:tblStylePr w:type="band1Horz">
      <w:tblPr/>
      <w:tcPr>
        <w:shd w:val="clear" w:color="auto" w:fill="D5EBF5" w:themeFill="accent1" w:themeFillTint="33"/>
      </w:tcPr>
    </w:tblStylePr>
  </w:style>
  <w:style w:type="table" w:customStyle="1" w:styleId="MediumShading1-Accent11">
    <w:name w:val="Medium Shading 1 - Accent 11"/>
    <w:basedOn w:val="TableNormal"/>
    <w:uiPriority w:val="63"/>
    <w:rsid w:val="003B6DB9"/>
    <w:pPr>
      <w:spacing w:after="0" w:line="240" w:lineRule="auto"/>
    </w:pPr>
    <w:rPr>
      <w:rFonts w:eastAsiaTheme="minorHAnsi"/>
      <w:sz w:val="22"/>
      <w:szCs w:val="22"/>
      <w:lang w:bidi="en-US"/>
    </w:rPr>
    <w:tblPr>
      <w:tblStyleRowBandSize w:val="1"/>
      <w:tblStyleColBandSize w:val="1"/>
      <w:tblBorders>
        <w:top w:val="single" w:sz="8"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single" w:sz="8" w:space="0" w:color="63B6DB" w:themeColor="accent1" w:themeTint="BF"/>
      </w:tblBorders>
    </w:tblPr>
    <w:tblStylePr w:type="firstRow">
      <w:pPr>
        <w:spacing w:before="0" w:after="0" w:line="240" w:lineRule="auto"/>
      </w:pPr>
      <w:rPr>
        <w:b/>
        <w:bCs/>
        <w:color w:val="FFFFFF" w:themeColor="background1"/>
      </w:rPr>
      <w:tblPr/>
      <w:tcPr>
        <w:tcBorders>
          <w:top w:val="single" w:sz="8"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nil"/>
          <w:insideV w:val="nil"/>
        </w:tcBorders>
        <w:shd w:val="clear" w:color="auto" w:fill="2F9FD0" w:themeFill="accent1"/>
      </w:tcPr>
    </w:tblStylePr>
    <w:tblStylePr w:type="lastRow">
      <w:pPr>
        <w:spacing w:before="0" w:after="0" w:line="240" w:lineRule="auto"/>
      </w:pPr>
      <w:rPr>
        <w:b/>
        <w:bCs/>
      </w:rPr>
      <w:tblPr/>
      <w:tcPr>
        <w:tcBorders>
          <w:top w:val="double" w:sz="6"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7F3" w:themeFill="accent1" w:themeFillTint="3F"/>
      </w:tcPr>
    </w:tblStylePr>
    <w:tblStylePr w:type="band1Horz">
      <w:tblPr/>
      <w:tcPr>
        <w:tcBorders>
          <w:insideH w:val="nil"/>
          <w:insideV w:val="nil"/>
        </w:tcBorders>
        <w:shd w:val="clear" w:color="auto" w:fill="CBE7F3" w:themeFill="accent1"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3B6DB9"/>
    <w:pPr>
      <w:spacing w:after="0" w:line="240" w:lineRule="auto"/>
    </w:pPr>
    <w:rPr>
      <w:rFonts w:eastAsiaTheme="minorHAns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6A5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6A54" w:themeFill="accent2"/>
      </w:tcPr>
    </w:tblStylePr>
    <w:tblStylePr w:type="lastCol">
      <w:rPr>
        <w:b/>
        <w:bCs/>
        <w:color w:val="FFFFFF" w:themeColor="background1"/>
      </w:rPr>
      <w:tblPr/>
      <w:tcPr>
        <w:tcBorders>
          <w:left w:val="nil"/>
          <w:right w:val="nil"/>
          <w:insideH w:val="nil"/>
          <w:insideV w:val="nil"/>
        </w:tcBorders>
        <w:shd w:val="clear" w:color="auto" w:fill="E56A5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3B6DB9"/>
    <w:pPr>
      <w:spacing w:after="0" w:line="240" w:lineRule="auto"/>
    </w:pPr>
    <w:rPr>
      <w:rFonts w:eastAsiaTheme="minorHAnsi"/>
      <w:color w:val="00448C" w:themeColor="text1" w:themeShade="BF"/>
      <w:sz w:val="22"/>
      <w:szCs w:val="22"/>
      <w:lang w:bidi="en-US"/>
    </w:rPr>
    <w:tblPr>
      <w:tblStyleRowBandSize w:val="1"/>
      <w:tblStyleColBandSize w:val="1"/>
      <w:tblBorders>
        <w:top w:val="single" w:sz="8" w:space="0" w:color="005BBB" w:themeColor="text1"/>
        <w:bottom w:val="single" w:sz="8" w:space="0" w:color="005BBB" w:themeColor="text1"/>
      </w:tblBorders>
    </w:tblPr>
    <w:tblStylePr w:type="firstRow">
      <w:pPr>
        <w:spacing w:before="0" w:after="0" w:line="240" w:lineRule="auto"/>
      </w:pPr>
      <w:rPr>
        <w:b/>
        <w:bCs/>
      </w:rPr>
      <w:tblPr/>
      <w:tcPr>
        <w:tcBorders>
          <w:top w:val="single" w:sz="8" w:space="0" w:color="005BBB" w:themeColor="text1"/>
          <w:left w:val="nil"/>
          <w:bottom w:val="single" w:sz="8" w:space="0" w:color="005BBB" w:themeColor="text1"/>
          <w:right w:val="nil"/>
          <w:insideH w:val="nil"/>
          <w:insideV w:val="nil"/>
        </w:tcBorders>
      </w:tcPr>
    </w:tblStylePr>
    <w:tblStylePr w:type="lastRow">
      <w:pPr>
        <w:spacing w:before="0" w:after="0" w:line="240" w:lineRule="auto"/>
      </w:pPr>
      <w:rPr>
        <w:b/>
        <w:bCs/>
      </w:rPr>
      <w:tblPr/>
      <w:tcPr>
        <w:tcBorders>
          <w:top w:val="single" w:sz="8" w:space="0" w:color="005BBB" w:themeColor="text1"/>
          <w:left w:val="nil"/>
          <w:bottom w:val="single" w:sz="8" w:space="0" w:color="005BB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5FF" w:themeFill="text1" w:themeFillTint="3F"/>
      </w:tcPr>
    </w:tblStylePr>
    <w:tblStylePr w:type="band1Horz">
      <w:tblPr/>
      <w:tcPr>
        <w:tcBorders>
          <w:left w:val="nil"/>
          <w:right w:val="nil"/>
          <w:insideH w:val="nil"/>
          <w:insideV w:val="nil"/>
        </w:tcBorders>
        <w:shd w:val="clear" w:color="auto" w:fill="AFD5FF" w:themeFill="text1" w:themeFillTint="3F"/>
      </w:tcPr>
    </w:tblStylePr>
  </w:style>
  <w:style w:type="table" w:styleId="LightList-Accent4">
    <w:name w:val="Light List Accent 4"/>
    <w:basedOn w:val="TableNormal"/>
    <w:uiPriority w:val="61"/>
    <w:rsid w:val="003B6DB9"/>
    <w:pPr>
      <w:spacing w:after="0" w:line="240" w:lineRule="auto"/>
    </w:pPr>
    <w:rPr>
      <w:rFonts w:eastAsiaTheme="minorHAnsi"/>
      <w:sz w:val="22"/>
      <w:szCs w:val="22"/>
      <w:lang w:bidi="en-US"/>
    </w:rPr>
    <w:tblPr>
      <w:tblStyleRowBandSize w:val="1"/>
      <w:tblStyleColBandSize w:val="1"/>
      <w:tblBorders>
        <w:top w:val="single" w:sz="8" w:space="0" w:color="FFC72C" w:themeColor="accent4"/>
        <w:left w:val="single" w:sz="8" w:space="0" w:color="FFC72C" w:themeColor="accent4"/>
        <w:bottom w:val="single" w:sz="8" w:space="0" w:color="FFC72C" w:themeColor="accent4"/>
        <w:right w:val="single" w:sz="8" w:space="0" w:color="FFC72C" w:themeColor="accent4"/>
      </w:tblBorders>
    </w:tblPr>
    <w:tblStylePr w:type="firstRow">
      <w:pPr>
        <w:spacing w:before="0" w:after="0" w:line="240" w:lineRule="auto"/>
      </w:pPr>
      <w:rPr>
        <w:b/>
        <w:bCs/>
        <w:color w:val="FFFFFF" w:themeColor="background1"/>
      </w:rPr>
      <w:tblPr/>
      <w:tcPr>
        <w:shd w:val="clear" w:color="auto" w:fill="FFC72C" w:themeFill="accent4"/>
      </w:tcPr>
    </w:tblStylePr>
    <w:tblStylePr w:type="lastRow">
      <w:pPr>
        <w:spacing w:before="0" w:after="0" w:line="240" w:lineRule="auto"/>
      </w:pPr>
      <w:rPr>
        <w:b/>
        <w:bCs/>
      </w:rPr>
      <w:tblPr/>
      <w:tcPr>
        <w:tcBorders>
          <w:top w:val="double" w:sz="6" w:space="0" w:color="FFC72C" w:themeColor="accent4"/>
          <w:left w:val="single" w:sz="8" w:space="0" w:color="FFC72C" w:themeColor="accent4"/>
          <w:bottom w:val="single" w:sz="8" w:space="0" w:color="FFC72C" w:themeColor="accent4"/>
          <w:right w:val="single" w:sz="8" w:space="0" w:color="FFC72C" w:themeColor="accent4"/>
        </w:tcBorders>
      </w:tcPr>
    </w:tblStylePr>
    <w:tblStylePr w:type="firstCol">
      <w:rPr>
        <w:b/>
        <w:bCs/>
      </w:rPr>
    </w:tblStylePr>
    <w:tblStylePr w:type="lastCol">
      <w:rPr>
        <w:b/>
        <w:bCs/>
      </w:rPr>
    </w:tblStylePr>
    <w:tblStylePr w:type="band1Vert">
      <w:tblPr/>
      <w:tcPr>
        <w:tcBorders>
          <w:top w:val="single" w:sz="8" w:space="0" w:color="FFC72C" w:themeColor="accent4"/>
          <w:left w:val="single" w:sz="8" w:space="0" w:color="FFC72C" w:themeColor="accent4"/>
          <w:bottom w:val="single" w:sz="8" w:space="0" w:color="FFC72C" w:themeColor="accent4"/>
          <w:right w:val="single" w:sz="8" w:space="0" w:color="FFC72C" w:themeColor="accent4"/>
        </w:tcBorders>
      </w:tcPr>
    </w:tblStylePr>
    <w:tblStylePr w:type="band1Horz">
      <w:tblPr/>
      <w:tcPr>
        <w:tcBorders>
          <w:top w:val="single" w:sz="8" w:space="0" w:color="FFC72C" w:themeColor="accent4"/>
          <w:left w:val="single" w:sz="8" w:space="0" w:color="FFC72C" w:themeColor="accent4"/>
          <w:bottom w:val="single" w:sz="8" w:space="0" w:color="FFC72C" w:themeColor="accent4"/>
          <w:right w:val="single" w:sz="8" w:space="0" w:color="FFC72C" w:themeColor="accent4"/>
        </w:tcBorders>
      </w:tcPr>
    </w:tblStylePr>
  </w:style>
  <w:style w:type="table" w:styleId="MediumGrid2-Accent4">
    <w:name w:val="Medium Grid 2 Accent 4"/>
    <w:basedOn w:val="TableNormal"/>
    <w:uiPriority w:val="68"/>
    <w:rsid w:val="003B6DB9"/>
    <w:pPr>
      <w:spacing w:after="0" w:line="240" w:lineRule="auto"/>
    </w:pPr>
    <w:rPr>
      <w:rFonts w:asciiTheme="majorHAnsi" w:eastAsiaTheme="majorEastAsia" w:hAnsiTheme="majorHAnsi" w:cstheme="majorBidi"/>
      <w:color w:val="005BBB" w:themeColor="text1"/>
      <w:sz w:val="22"/>
      <w:szCs w:val="22"/>
      <w:lang w:bidi="en-US"/>
    </w:rPr>
    <w:tblPr>
      <w:tblStyleRowBandSize w:val="1"/>
      <w:tblStyleColBandSize w:val="1"/>
      <w:tblBorders>
        <w:top w:val="single" w:sz="8" w:space="0" w:color="FFC72C" w:themeColor="accent4"/>
        <w:left w:val="single" w:sz="8" w:space="0" w:color="FFC72C" w:themeColor="accent4"/>
        <w:bottom w:val="single" w:sz="8" w:space="0" w:color="FFC72C" w:themeColor="accent4"/>
        <w:right w:val="single" w:sz="8" w:space="0" w:color="FFC72C" w:themeColor="accent4"/>
        <w:insideH w:val="single" w:sz="8" w:space="0" w:color="FFC72C" w:themeColor="accent4"/>
        <w:insideV w:val="single" w:sz="8" w:space="0" w:color="FFC72C" w:themeColor="accent4"/>
      </w:tblBorders>
    </w:tblPr>
    <w:tcPr>
      <w:shd w:val="clear" w:color="auto" w:fill="FFF1CA" w:themeFill="accent4" w:themeFillTint="3F"/>
    </w:tcPr>
    <w:tblStylePr w:type="firstRow">
      <w:rPr>
        <w:b/>
        <w:bCs/>
        <w:color w:val="005BBB" w:themeColor="text1"/>
      </w:rPr>
      <w:tblPr/>
      <w:tcPr>
        <w:shd w:val="clear" w:color="auto" w:fill="FFF9EA" w:themeFill="accent4" w:themeFillTint="19"/>
      </w:tcPr>
    </w:tblStylePr>
    <w:tblStylePr w:type="lastRow">
      <w:rPr>
        <w:b/>
        <w:bCs/>
        <w:color w:val="005BBB" w:themeColor="text1"/>
      </w:rPr>
      <w:tblPr/>
      <w:tcPr>
        <w:tcBorders>
          <w:top w:val="single" w:sz="12" w:space="0" w:color="005BBB" w:themeColor="text1"/>
          <w:left w:val="nil"/>
          <w:bottom w:val="nil"/>
          <w:right w:val="nil"/>
          <w:insideH w:val="nil"/>
          <w:insideV w:val="nil"/>
        </w:tcBorders>
        <w:shd w:val="clear" w:color="auto" w:fill="FFFFFF" w:themeFill="background1"/>
      </w:tcPr>
    </w:tblStylePr>
    <w:tblStylePr w:type="firstCol">
      <w:rPr>
        <w:b/>
        <w:bCs/>
        <w:color w:val="005BB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BBB" w:themeColor="text1"/>
      </w:rPr>
      <w:tblPr/>
      <w:tcPr>
        <w:tcBorders>
          <w:top w:val="nil"/>
          <w:left w:val="nil"/>
          <w:bottom w:val="nil"/>
          <w:right w:val="nil"/>
          <w:insideH w:val="nil"/>
          <w:insideV w:val="nil"/>
        </w:tcBorders>
        <w:shd w:val="clear" w:color="auto" w:fill="FFF3D4" w:themeFill="accent4" w:themeFillTint="33"/>
      </w:tcPr>
    </w:tblStylePr>
    <w:tblStylePr w:type="band1Vert">
      <w:tblPr/>
      <w:tcPr>
        <w:shd w:val="clear" w:color="auto" w:fill="FFE295" w:themeFill="accent4" w:themeFillTint="7F"/>
      </w:tcPr>
    </w:tblStylePr>
    <w:tblStylePr w:type="band1Horz">
      <w:tblPr/>
      <w:tcPr>
        <w:tcBorders>
          <w:insideH w:val="single" w:sz="6" w:space="0" w:color="FFC72C" w:themeColor="accent4"/>
          <w:insideV w:val="single" w:sz="6" w:space="0" w:color="FFC72C" w:themeColor="accent4"/>
        </w:tcBorders>
        <w:shd w:val="clear" w:color="auto" w:fill="FFE295" w:themeFill="accent4" w:themeFillTint="7F"/>
      </w:tcPr>
    </w:tblStylePr>
    <w:tblStylePr w:type="nwCell">
      <w:tblPr/>
      <w:tcPr>
        <w:shd w:val="clear" w:color="auto" w:fill="FFFFFF" w:themeFill="background1"/>
      </w:tcPr>
    </w:tblStylePr>
  </w:style>
  <w:style w:type="table" w:styleId="ColorfulShading-Accent4">
    <w:name w:val="Colorful Shading Accent 4"/>
    <w:basedOn w:val="TableNormal"/>
    <w:uiPriority w:val="71"/>
    <w:rsid w:val="003B6DB9"/>
    <w:pPr>
      <w:spacing w:after="0" w:line="240" w:lineRule="auto"/>
    </w:pPr>
    <w:rPr>
      <w:rFonts w:eastAsiaTheme="minorHAnsi"/>
      <w:color w:val="005BBB" w:themeColor="text1"/>
      <w:sz w:val="22"/>
      <w:szCs w:val="22"/>
      <w:lang w:bidi="en-US"/>
    </w:rPr>
    <w:tblPr>
      <w:tblStyleRowBandSize w:val="1"/>
      <w:tblStyleColBandSize w:val="1"/>
      <w:tblBorders>
        <w:top w:val="single" w:sz="24" w:space="0" w:color="666666" w:themeColor="accent3"/>
        <w:left w:val="single" w:sz="4" w:space="0" w:color="FFC72C" w:themeColor="accent4"/>
        <w:bottom w:val="single" w:sz="4" w:space="0" w:color="FFC72C" w:themeColor="accent4"/>
        <w:right w:val="single" w:sz="4" w:space="0" w:color="FFC72C" w:themeColor="accent4"/>
        <w:insideH w:val="single" w:sz="4" w:space="0" w:color="FFFFFF" w:themeColor="background1"/>
        <w:insideV w:val="single" w:sz="4" w:space="0" w:color="FFFFFF" w:themeColor="background1"/>
      </w:tblBorders>
    </w:tblPr>
    <w:tcPr>
      <w:shd w:val="clear" w:color="auto" w:fill="FFF9EA" w:themeFill="accent4" w:themeFillTint="19"/>
    </w:tcPr>
    <w:tblStylePr w:type="firstRow">
      <w:rPr>
        <w:b/>
        <w:bCs/>
      </w:rPr>
      <w:tblPr/>
      <w:tcPr>
        <w:tcBorders>
          <w:top w:val="nil"/>
          <w:left w:val="nil"/>
          <w:bottom w:val="single" w:sz="24" w:space="0" w:color="66666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4" w:themeFillShade="99"/>
      </w:tcPr>
    </w:tblStylePr>
    <w:tblStylePr w:type="firstCol">
      <w:rPr>
        <w:color w:val="FFFFFF" w:themeColor="background1"/>
      </w:rPr>
      <w:tblPr/>
      <w:tcPr>
        <w:tcBorders>
          <w:top w:val="nil"/>
          <w:left w:val="nil"/>
          <w:bottom w:val="nil"/>
          <w:right w:val="nil"/>
          <w:insideH w:val="single" w:sz="4" w:space="0" w:color="B38300" w:themeColor="accent4" w:themeShade="99"/>
          <w:insideV w:val="nil"/>
        </w:tcBorders>
        <w:shd w:val="clear" w:color="auto" w:fill="B38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4" w:themeFillShade="99"/>
      </w:tcPr>
    </w:tblStylePr>
    <w:tblStylePr w:type="band1Vert">
      <w:tblPr/>
      <w:tcPr>
        <w:shd w:val="clear" w:color="auto" w:fill="FFE8AA" w:themeFill="accent4" w:themeFillTint="66"/>
      </w:tcPr>
    </w:tblStylePr>
    <w:tblStylePr w:type="band1Horz">
      <w:tblPr/>
      <w:tcPr>
        <w:shd w:val="clear" w:color="auto" w:fill="FFE295" w:themeFill="accent4" w:themeFillTint="7F"/>
      </w:tcPr>
    </w:tblStylePr>
    <w:tblStylePr w:type="neCell">
      <w:rPr>
        <w:color w:val="005BBB" w:themeColor="text1"/>
      </w:rPr>
    </w:tblStylePr>
    <w:tblStylePr w:type="nwCell">
      <w:rPr>
        <w:color w:val="005BBB" w:themeColor="text1"/>
      </w:rPr>
    </w:tblStylePr>
  </w:style>
  <w:style w:type="table" w:styleId="ColorfulList-Accent3">
    <w:name w:val="Colorful List Accent 3"/>
    <w:basedOn w:val="TableNormal"/>
    <w:uiPriority w:val="72"/>
    <w:rsid w:val="003B6DB9"/>
    <w:pPr>
      <w:spacing w:after="0" w:line="240" w:lineRule="auto"/>
    </w:pPr>
    <w:rPr>
      <w:rFonts w:eastAsiaTheme="minorHAnsi"/>
      <w:color w:val="005BBB" w:themeColor="text1"/>
      <w:sz w:val="22"/>
      <w:szCs w:val="22"/>
      <w:lang w:bidi="en-US"/>
    </w:rPr>
    <w:tblPr>
      <w:tblStyleRowBandSize w:val="1"/>
      <w:tblStyleColBandSize w:val="1"/>
    </w:tblPr>
    <w:tcPr>
      <w:shd w:val="clear" w:color="auto" w:fill="F0F0F0" w:themeFill="accent3" w:themeFillTint="19"/>
    </w:tcPr>
    <w:tblStylePr w:type="firstRow">
      <w:rPr>
        <w:b/>
        <w:bCs/>
        <w:color w:val="FFFFFF" w:themeColor="background1"/>
      </w:rPr>
      <w:tblPr/>
      <w:tcPr>
        <w:tcBorders>
          <w:bottom w:val="single" w:sz="12" w:space="0" w:color="FFFFFF" w:themeColor="background1"/>
        </w:tcBorders>
        <w:shd w:val="clear" w:color="auto" w:fill="EFAF00" w:themeFill="accent4" w:themeFillShade="CC"/>
      </w:tcPr>
    </w:tblStylePr>
    <w:tblStylePr w:type="lastRow">
      <w:rPr>
        <w:b/>
        <w:bCs/>
        <w:color w:val="EFAF00" w:themeColor="accent4" w:themeShade="CC"/>
      </w:rPr>
      <w:tblPr/>
      <w:tcPr>
        <w:tcBorders>
          <w:top w:val="single" w:sz="12" w:space="0" w:color="005BB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3" w:themeFillTint="3F"/>
      </w:tcPr>
    </w:tblStylePr>
    <w:tblStylePr w:type="band1Horz">
      <w:tblPr/>
      <w:tcPr>
        <w:shd w:val="clear" w:color="auto" w:fill="E0E0E0" w:themeFill="accent3" w:themeFillTint="33"/>
      </w:tcPr>
    </w:tblStylePr>
  </w:style>
  <w:style w:type="table" w:styleId="MediumList2-Accent2">
    <w:name w:val="Medium List 2 Accent 2"/>
    <w:basedOn w:val="TableNormal"/>
    <w:uiPriority w:val="66"/>
    <w:rsid w:val="003B6DB9"/>
    <w:pPr>
      <w:spacing w:after="0" w:line="240" w:lineRule="auto"/>
    </w:pPr>
    <w:rPr>
      <w:rFonts w:asciiTheme="majorHAnsi" w:eastAsiaTheme="majorEastAsia" w:hAnsiTheme="majorHAnsi" w:cstheme="majorBidi"/>
      <w:color w:val="005BBB" w:themeColor="text1"/>
      <w:sz w:val="22"/>
      <w:szCs w:val="22"/>
      <w:lang w:bidi="en-US"/>
    </w:rPr>
    <w:tblPr>
      <w:tblStyleRowBandSize w:val="1"/>
      <w:tblStyleColBandSize w:val="1"/>
      <w:tblBorders>
        <w:top w:val="single" w:sz="8" w:space="0" w:color="E56A54" w:themeColor="accent2"/>
        <w:left w:val="single" w:sz="8" w:space="0" w:color="E56A54" w:themeColor="accent2"/>
        <w:bottom w:val="single" w:sz="8" w:space="0" w:color="E56A54" w:themeColor="accent2"/>
        <w:right w:val="single" w:sz="8" w:space="0" w:color="E56A54" w:themeColor="accent2"/>
      </w:tblBorders>
    </w:tblPr>
    <w:tblStylePr w:type="firstRow">
      <w:rPr>
        <w:sz w:val="24"/>
        <w:szCs w:val="24"/>
      </w:rPr>
      <w:tblPr/>
      <w:tcPr>
        <w:tcBorders>
          <w:top w:val="nil"/>
          <w:left w:val="nil"/>
          <w:bottom w:val="single" w:sz="24" w:space="0" w:color="E56A54" w:themeColor="accent2"/>
          <w:right w:val="nil"/>
          <w:insideH w:val="nil"/>
          <w:insideV w:val="nil"/>
        </w:tcBorders>
        <w:shd w:val="clear" w:color="auto" w:fill="FFFFFF" w:themeFill="background1"/>
      </w:tcPr>
    </w:tblStylePr>
    <w:tblStylePr w:type="lastRow">
      <w:tblPr/>
      <w:tcPr>
        <w:tcBorders>
          <w:top w:val="single" w:sz="8" w:space="0" w:color="E56A5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6A54" w:themeColor="accent2"/>
          <w:insideH w:val="nil"/>
          <w:insideV w:val="nil"/>
        </w:tcBorders>
        <w:shd w:val="clear" w:color="auto" w:fill="FFFFFF" w:themeFill="background1"/>
      </w:tcPr>
    </w:tblStylePr>
    <w:tblStylePr w:type="lastCol">
      <w:tblPr/>
      <w:tcPr>
        <w:tcBorders>
          <w:top w:val="nil"/>
          <w:left w:val="single" w:sz="8" w:space="0" w:color="E56A5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9D4" w:themeFill="accent2" w:themeFillTint="3F"/>
      </w:tcPr>
    </w:tblStylePr>
    <w:tblStylePr w:type="band1Horz">
      <w:tblPr/>
      <w:tcPr>
        <w:tcBorders>
          <w:top w:val="nil"/>
          <w:bottom w:val="nil"/>
          <w:insideH w:val="nil"/>
          <w:insideV w:val="nil"/>
        </w:tcBorders>
        <w:shd w:val="clear" w:color="auto" w:fill="F8D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TableofFigures">
    <w:name w:val="table of figures"/>
    <w:basedOn w:val="Normal"/>
    <w:next w:val="Normal"/>
    <w:uiPriority w:val="99"/>
    <w:unhideWhenUsed/>
    <w:rsid w:val="003B6DB9"/>
    <w:pPr>
      <w:spacing w:after="0"/>
      <w:ind w:left="0"/>
    </w:pPr>
    <w:rPr>
      <w:rFonts w:asciiTheme="minorHAnsi" w:eastAsiaTheme="minorHAnsi" w:hAnsiTheme="minorHAnsi" w:cstheme="minorBidi"/>
      <w:lang w:bidi="en-US"/>
    </w:rPr>
  </w:style>
  <w:style w:type="character" w:styleId="PageNumber">
    <w:name w:val="page number"/>
    <w:basedOn w:val="DefaultParagraphFont"/>
    <w:rsid w:val="003B6DB9"/>
  </w:style>
  <w:style w:type="paragraph" w:styleId="NormalWeb">
    <w:name w:val="Normal (Web)"/>
    <w:basedOn w:val="Normal"/>
    <w:uiPriority w:val="99"/>
    <w:rsid w:val="003B6DB9"/>
    <w:pPr>
      <w:spacing w:before="100" w:beforeAutospacing="1" w:after="100" w:afterAutospacing="1"/>
      <w:ind w:left="0"/>
    </w:pPr>
    <w:rPr>
      <w:rFonts w:ascii="Times New Roman" w:hAnsi="Times New Roman" w:cs="Times New Roman"/>
      <w:color w:val="637E99"/>
    </w:rPr>
  </w:style>
  <w:style w:type="paragraph" w:customStyle="1" w:styleId="info2">
    <w:name w:val="info2"/>
    <w:basedOn w:val="Normal"/>
    <w:rsid w:val="003B6DB9"/>
    <w:pPr>
      <w:spacing w:after="0"/>
      <w:ind w:left="0"/>
    </w:pPr>
    <w:rPr>
      <w:rFonts w:ascii="Trebuchet MS" w:hAnsi="Trebuchet MS" w:cs="Times New Roman"/>
      <w:color w:val="336699"/>
      <w:sz w:val="15"/>
      <w:szCs w:val="15"/>
    </w:rPr>
  </w:style>
  <w:style w:type="character" w:customStyle="1" w:styleId="author2">
    <w:name w:val="author2"/>
    <w:basedOn w:val="DefaultParagraphFont"/>
    <w:rsid w:val="003B6DB9"/>
    <w:rPr>
      <w:vanish w:val="0"/>
      <w:webHidden w:val="0"/>
      <w:color w:val="003366"/>
      <w:specVanish w:val="0"/>
    </w:rPr>
  </w:style>
  <w:style w:type="table" w:styleId="ColorfulGrid-Accent4">
    <w:name w:val="Colorful Grid Accent 4"/>
    <w:basedOn w:val="TableNormal"/>
    <w:uiPriority w:val="73"/>
    <w:rsid w:val="003B6DB9"/>
    <w:pPr>
      <w:spacing w:after="0" w:line="240" w:lineRule="auto"/>
    </w:pPr>
    <w:rPr>
      <w:rFonts w:eastAsiaTheme="minorHAnsi"/>
      <w:color w:val="005BBB" w:themeColor="text1"/>
      <w:sz w:val="22"/>
      <w:szCs w:val="22"/>
      <w:lang w:bidi="en-US"/>
    </w:rPr>
    <w:tblPr>
      <w:tblStyleRowBandSize w:val="1"/>
      <w:tblStyleColBandSize w:val="1"/>
      <w:tblBorders>
        <w:insideH w:val="single" w:sz="4" w:space="0" w:color="FFFFFF" w:themeColor="background1"/>
      </w:tblBorders>
    </w:tblPr>
    <w:tcPr>
      <w:shd w:val="clear" w:color="auto" w:fill="FFF3D4" w:themeFill="accent4" w:themeFillTint="33"/>
    </w:tcPr>
    <w:tblStylePr w:type="firstRow">
      <w:rPr>
        <w:b/>
        <w:bCs/>
      </w:rPr>
      <w:tblPr/>
      <w:tcPr>
        <w:shd w:val="clear" w:color="auto" w:fill="FFE8AA" w:themeFill="accent4" w:themeFillTint="66"/>
      </w:tcPr>
    </w:tblStylePr>
    <w:tblStylePr w:type="lastRow">
      <w:rPr>
        <w:b/>
        <w:bCs/>
        <w:color w:val="005BBB" w:themeColor="text1"/>
      </w:rPr>
      <w:tblPr/>
      <w:tcPr>
        <w:shd w:val="clear" w:color="auto" w:fill="FFE8AA" w:themeFill="accent4" w:themeFillTint="66"/>
      </w:tcPr>
    </w:tblStylePr>
    <w:tblStylePr w:type="firstCol">
      <w:rPr>
        <w:color w:val="FFFFFF" w:themeColor="background1"/>
      </w:rPr>
      <w:tblPr/>
      <w:tcPr>
        <w:shd w:val="clear" w:color="auto" w:fill="DFA400" w:themeFill="accent4" w:themeFillShade="BF"/>
      </w:tcPr>
    </w:tblStylePr>
    <w:tblStylePr w:type="lastCol">
      <w:rPr>
        <w:color w:val="FFFFFF" w:themeColor="background1"/>
      </w:rPr>
      <w:tblPr/>
      <w:tcPr>
        <w:shd w:val="clear" w:color="auto" w:fill="DFA400" w:themeFill="accent4" w:themeFillShade="BF"/>
      </w:tcPr>
    </w:tblStylePr>
    <w:tblStylePr w:type="band1Vert">
      <w:tblPr/>
      <w:tcPr>
        <w:shd w:val="clear" w:color="auto" w:fill="FFE295" w:themeFill="accent4" w:themeFillTint="7F"/>
      </w:tcPr>
    </w:tblStylePr>
    <w:tblStylePr w:type="band1Horz">
      <w:tblPr/>
      <w:tcPr>
        <w:shd w:val="clear" w:color="auto" w:fill="FFE295" w:themeFill="accent4" w:themeFillTint="7F"/>
      </w:tcPr>
    </w:tblStylePr>
  </w:style>
  <w:style w:type="table" w:styleId="ColorfulGrid-Accent2">
    <w:name w:val="Colorful Grid Accent 2"/>
    <w:basedOn w:val="TableNormal"/>
    <w:uiPriority w:val="73"/>
    <w:rsid w:val="003B6DB9"/>
    <w:pPr>
      <w:spacing w:after="0" w:line="240" w:lineRule="auto"/>
    </w:pPr>
    <w:rPr>
      <w:rFonts w:eastAsiaTheme="minorHAnsi"/>
      <w:color w:val="005BBB" w:themeColor="text1"/>
      <w:sz w:val="22"/>
      <w:szCs w:val="22"/>
      <w:lang w:bidi="en-US"/>
    </w:rPr>
    <w:tblPr>
      <w:tblStyleRowBandSize w:val="1"/>
      <w:tblStyleColBandSize w:val="1"/>
      <w:tblBorders>
        <w:insideH w:val="single" w:sz="4" w:space="0" w:color="FFFFFF" w:themeColor="background1"/>
      </w:tblBorders>
    </w:tblPr>
    <w:tcPr>
      <w:shd w:val="clear" w:color="auto" w:fill="F9E0DC" w:themeFill="accent2" w:themeFillTint="33"/>
    </w:tcPr>
    <w:tblStylePr w:type="firstRow">
      <w:rPr>
        <w:b/>
        <w:bCs/>
      </w:rPr>
      <w:tblPr/>
      <w:tcPr>
        <w:shd w:val="clear" w:color="auto" w:fill="F4C3BA" w:themeFill="accent2" w:themeFillTint="66"/>
      </w:tcPr>
    </w:tblStylePr>
    <w:tblStylePr w:type="lastRow">
      <w:rPr>
        <w:b/>
        <w:bCs/>
        <w:color w:val="005BBB" w:themeColor="text1"/>
      </w:rPr>
      <w:tblPr/>
      <w:tcPr>
        <w:shd w:val="clear" w:color="auto" w:fill="F4C3BA" w:themeFill="accent2" w:themeFillTint="66"/>
      </w:tcPr>
    </w:tblStylePr>
    <w:tblStylePr w:type="firstCol">
      <w:rPr>
        <w:color w:val="FFFFFF" w:themeColor="background1"/>
      </w:rPr>
      <w:tblPr/>
      <w:tcPr>
        <w:shd w:val="clear" w:color="auto" w:fill="CB381F" w:themeFill="accent2" w:themeFillShade="BF"/>
      </w:tcPr>
    </w:tblStylePr>
    <w:tblStylePr w:type="lastCol">
      <w:rPr>
        <w:color w:val="FFFFFF" w:themeColor="background1"/>
      </w:rPr>
      <w:tblPr/>
      <w:tcPr>
        <w:shd w:val="clear" w:color="auto" w:fill="CB381F" w:themeFill="accent2" w:themeFillShade="BF"/>
      </w:tcPr>
    </w:tblStylePr>
    <w:tblStylePr w:type="band1Vert">
      <w:tblPr/>
      <w:tcPr>
        <w:shd w:val="clear" w:color="auto" w:fill="F2B4A9" w:themeFill="accent2" w:themeFillTint="7F"/>
      </w:tcPr>
    </w:tblStylePr>
    <w:tblStylePr w:type="band1Horz">
      <w:tblPr/>
      <w:tcPr>
        <w:shd w:val="clear" w:color="auto" w:fill="F2B4A9" w:themeFill="accent2" w:themeFillTint="7F"/>
      </w:tcPr>
    </w:tblStylePr>
  </w:style>
  <w:style w:type="table" w:styleId="LightList-Accent2">
    <w:name w:val="Light List Accent 2"/>
    <w:basedOn w:val="TableNormal"/>
    <w:uiPriority w:val="61"/>
    <w:rsid w:val="003B6DB9"/>
    <w:pPr>
      <w:spacing w:after="0" w:line="240" w:lineRule="auto"/>
    </w:pPr>
    <w:rPr>
      <w:rFonts w:eastAsiaTheme="minorHAnsi"/>
      <w:sz w:val="22"/>
      <w:szCs w:val="22"/>
      <w:lang w:bidi="en-US"/>
    </w:rPr>
    <w:tblPr>
      <w:tblStyleRowBandSize w:val="1"/>
      <w:tblStyleColBandSize w:val="1"/>
      <w:tblBorders>
        <w:top w:val="single" w:sz="8" w:space="0" w:color="E56A54" w:themeColor="accent2"/>
        <w:left w:val="single" w:sz="8" w:space="0" w:color="E56A54" w:themeColor="accent2"/>
        <w:bottom w:val="single" w:sz="8" w:space="0" w:color="E56A54" w:themeColor="accent2"/>
        <w:right w:val="single" w:sz="8" w:space="0" w:color="E56A54" w:themeColor="accent2"/>
      </w:tblBorders>
    </w:tblPr>
    <w:tblStylePr w:type="firstRow">
      <w:pPr>
        <w:spacing w:before="0" w:after="0" w:line="240" w:lineRule="auto"/>
      </w:pPr>
      <w:rPr>
        <w:b/>
        <w:bCs/>
        <w:color w:val="FFFFFF" w:themeColor="background1"/>
      </w:rPr>
      <w:tblPr/>
      <w:tcPr>
        <w:shd w:val="clear" w:color="auto" w:fill="E56A54" w:themeFill="accent2"/>
      </w:tcPr>
    </w:tblStylePr>
    <w:tblStylePr w:type="lastRow">
      <w:pPr>
        <w:spacing w:before="0" w:after="0" w:line="240" w:lineRule="auto"/>
      </w:pPr>
      <w:rPr>
        <w:b/>
        <w:bCs/>
      </w:rPr>
      <w:tblPr/>
      <w:tcPr>
        <w:tcBorders>
          <w:top w:val="double" w:sz="6" w:space="0" w:color="E56A54" w:themeColor="accent2"/>
          <w:left w:val="single" w:sz="8" w:space="0" w:color="E56A54" w:themeColor="accent2"/>
          <w:bottom w:val="single" w:sz="8" w:space="0" w:color="E56A54" w:themeColor="accent2"/>
          <w:right w:val="single" w:sz="8" w:space="0" w:color="E56A54" w:themeColor="accent2"/>
        </w:tcBorders>
      </w:tcPr>
    </w:tblStylePr>
    <w:tblStylePr w:type="firstCol">
      <w:rPr>
        <w:b/>
        <w:bCs/>
      </w:rPr>
    </w:tblStylePr>
    <w:tblStylePr w:type="lastCol">
      <w:rPr>
        <w:b/>
        <w:bCs/>
      </w:rPr>
    </w:tblStylePr>
    <w:tblStylePr w:type="band1Vert">
      <w:tblPr/>
      <w:tcPr>
        <w:tcBorders>
          <w:top w:val="single" w:sz="8" w:space="0" w:color="E56A54" w:themeColor="accent2"/>
          <w:left w:val="single" w:sz="8" w:space="0" w:color="E56A54" w:themeColor="accent2"/>
          <w:bottom w:val="single" w:sz="8" w:space="0" w:color="E56A54" w:themeColor="accent2"/>
          <w:right w:val="single" w:sz="8" w:space="0" w:color="E56A54" w:themeColor="accent2"/>
        </w:tcBorders>
      </w:tcPr>
    </w:tblStylePr>
    <w:tblStylePr w:type="band1Horz">
      <w:tblPr/>
      <w:tcPr>
        <w:tcBorders>
          <w:top w:val="single" w:sz="8" w:space="0" w:color="E56A54" w:themeColor="accent2"/>
          <w:left w:val="single" w:sz="8" w:space="0" w:color="E56A54" w:themeColor="accent2"/>
          <w:bottom w:val="single" w:sz="8" w:space="0" w:color="E56A54" w:themeColor="accent2"/>
          <w:right w:val="single" w:sz="8" w:space="0" w:color="E56A54" w:themeColor="accent2"/>
        </w:tcBorders>
      </w:tcPr>
    </w:tblStylePr>
  </w:style>
  <w:style w:type="table" w:customStyle="1" w:styleId="LightList1">
    <w:name w:val="Light List1"/>
    <w:basedOn w:val="TableNormal"/>
    <w:uiPriority w:val="61"/>
    <w:rsid w:val="003B6DB9"/>
    <w:pPr>
      <w:spacing w:after="0" w:line="240" w:lineRule="auto"/>
    </w:pPr>
    <w:rPr>
      <w:rFonts w:eastAsiaTheme="minorHAnsi"/>
      <w:sz w:val="22"/>
      <w:szCs w:val="22"/>
      <w:lang w:bidi="en-US"/>
    </w:rPr>
    <w:tblPr>
      <w:tblStyleRowBandSize w:val="1"/>
      <w:tblStyleColBandSize w:val="1"/>
      <w:tblBorders>
        <w:top w:val="single" w:sz="8" w:space="0" w:color="005BBB" w:themeColor="text1"/>
        <w:left w:val="single" w:sz="8" w:space="0" w:color="005BBB" w:themeColor="text1"/>
        <w:bottom w:val="single" w:sz="8" w:space="0" w:color="005BBB" w:themeColor="text1"/>
        <w:right w:val="single" w:sz="8" w:space="0" w:color="005BBB" w:themeColor="text1"/>
      </w:tblBorders>
    </w:tblPr>
    <w:tblStylePr w:type="firstRow">
      <w:pPr>
        <w:spacing w:before="0" w:after="0" w:line="240" w:lineRule="auto"/>
      </w:pPr>
      <w:rPr>
        <w:b/>
        <w:bCs/>
        <w:color w:val="FFFFFF" w:themeColor="background1"/>
      </w:rPr>
      <w:tblPr/>
      <w:tcPr>
        <w:shd w:val="clear" w:color="auto" w:fill="005BBB" w:themeFill="text1"/>
      </w:tcPr>
    </w:tblStylePr>
    <w:tblStylePr w:type="lastRow">
      <w:pPr>
        <w:spacing w:before="0" w:after="0" w:line="240" w:lineRule="auto"/>
      </w:pPr>
      <w:rPr>
        <w:b/>
        <w:bCs/>
      </w:rPr>
      <w:tblPr/>
      <w:tcPr>
        <w:tcBorders>
          <w:top w:val="double" w:sz="6" w:space="0" w:color="005BBB" w:themeColor="text1"/>
          <w:left w:val="single" w:sz="8" w:space="0" w:color="005BBB" w:themeColor="text1"/>
          <w:bottom w:val="single" w:sz="8" w:space="0" w:color="005BBB" w:themeColor="text1"/>
          <w:right w:val="single" w:sz="8" w:space="0" w:color="005BBB" w:themeColor="text1"/>
        </w:tcBorders>
      </w:tcPr>
    </w:tblStylePr>
    <w:tblStylePr w:type="firstCol">
      <w:rPr>
        <w:b/>
        <w:bCs/>
      </w:rPr>
    </w:tblStylePr>
    <w:tblStylePr w:type="lastCol">
      <w:rPr>
        <w:b/>
        <w:bCs/>
      </w:rPr>
    </w:tblStylePr>
    <w:tblStylePr w:type="band1Vert">
      <w:tblPr/>
      <w:tcPr>
        <w:tcBorders>
          <w:top w:val="single" w:sz="8" w:space="0" w:color="005BBB" w:themeColor="text1"/>
          <w:left w:val="single" w:sz="8" w:space="0" w:color="005BBB" w:themeColor="text1"/>
          <w:bottom w:val="single" w:sz="8" w:space="0" w:color="005BBB" w:themeColor="text1"/>
          <w:right w:val="single" w:sz="8" w:space="0" w:color="005BBB" w:themeColor="text1"/>
        </w:tcBorders>
      </w:tcPr>
    </w:tblStylePr>
    <w:tblStylePr w:type="band1Horz">
      <w:tblPr/>
      <w:tcPr>
        <w:tcBorders>
          <w:top w:val="single" w:sz="8" w:space="0" w:color="005BBB" w:themeColor="text1"/>
          <w:left w:val="single" w:sz="8" w:space="0" w:color="005BBB" w:themeColor="text1"/>
          <w:bottom w:val="single" w:sz="8" w:space="0" w:color="005BBB" w:themeColor="text1"/>
          <w:right w:val="single" w:sz="8" w:space="0" w:color="005BBB" w:themeColor="text1"/>
        </w:tcBorders>
      </w:tcPr>
    </w:tblStylePr>
  </w:style>
  <w:style w:type="table" w:customStyle="1" w:styleId="LightList-Accent11">
    <w:name w:val="Light List - Accent 11"/>
    <w:basedOn w:val="TableNormal"/>
    <w:uiPriority w:val="61"/>
    <w:rsid w:val="003B6DB9"/>
    <w:pPr>
      <w:spacing w:after="0" w:line="240" w:lineRule="auto"/>
    </w:pPr>
    <w:rPr>
      <w:rFonts w:eastAsiaTheme="minorHAnsi"/>
      <w:sz w:val="22"/>
      <w:szCs w:val="22"/>
      <w:lang w:bidi="en-US"/>
    </w:rPr>
    <w:tblPr>
      <w:tblStyleRowBandSize w:val="1"/>
      <w:tblStyleColBandSize w:val="1"/>
      <w:tblBorders>
        <w:top w:val="single" w:sz="8" w:space="0" w:color="2F9FD0" w:themeColor="accent1"/>
        <w:left w:val="single" w:sz="8" w:space="0" w:color="2F9FD0" w:themeColor="accent1"/>
        <w:bottom w:val="single" w:sz="8" w:space="0" w:color="2F9FD0" w:themeColor="accent1"/>
        <w:right w:val="single" w:sz="8" w:space="0" w:color="2F9FD0" w:themeColor="accent1"/>
      </w:tblBorders>
    </w:tblPr>
    <w:tblStylePr w:type="firstRow">
      <w:pPr>
        <w:spacing w:before="0" w:after="0" w:line="240" w:lineRule="auto"/>
      </w:pPr>
      <w:rPr>
        <w:b/>
        <w:bCs/>
        <w:color w:val="FFFFFF" w:themeColor="background1"/>
      </w:rPr>
      <w:tblPr/>
      <w:tcPr>
        <w:shd w:val="clear" w:color="auto" w:fill="2F9FD0" w:themeFill="accent1"/>
      </w:tcPr>
    </w:tblStylePr>
    <w:tblStylePr w:type="lastRow">
      <w:pPr>
        <w:spacing w:before="0" w:after="0" w:line="240" w:lineRule="auto"/>
      </w:pPr>
      <w:rPr>
        <w:b/>
        <w:bCs/>
      </w:rPr>
      <w:tblPr/>
      <w:tcPr>
        <w:tcBorders>
          <w:top w:val="double" w:sz="6" w:space="0" w:color="2F9FD0" w:themeColor="accent1"/>
          <w:left w:val="single" w:sz="8" w:space="0" w:color="2F9FD0" w:themeColor="accent1"/>
          <w:bottom w:val="single" w:sz="8" w:space="0" w:color="2F9FD0" w:themeColor="accent1"/>
          <w:right w:val="single" w:sz="8" w:space="0" w:color="2F9FD0" w:themeColor="accent1"/>
        </w:tcBorders>
      </w:tcPr>
    </w:tblStylePr>
    <w:tblStylePr w:type="firstCol">
      <w:rPr>
        <w:b/>
        <w:bCs/>
      </w:rPr>
    </w:tblStylePr>
    <w:tblStylePr w:type="lastCol">
      <w:rPr>
        <w:b/>
        <w:bCs/>
      </w:rPr>
    </w:tblStylePr>
    <w:tblStylePr w:type="band1Vert">
      <w:tblPr/>
      <w:tcPr>
        <w:tcBorders>
          <w:top w:val="single" w:sz="8" w:space="0" w:color="2F9FD0" w:themeColor="accent1"/>
          <w:left w:val="single" w:sz="8" w:space="0" w:color="2F9FD0" w:themeColor="accent1"/>
          <w:bottom w:val="single" w:sz="8" w:space="0" w:color="2F9FD0" w:themeColor="accent1"/>
          <w:right w:val="single" w:sz="8" w:space="0" w:color="2F9FD0" w:themeColor="accent1"/>
        </w:tcBorders>
      </w:tcPr>
    </w:tblStylePr>
    <w:tblStylePr w:type="band1Horz">
      <w:tblPr/>
      <w:tcPr>
        <w:tcBorders>
          <w:top w:val="single" w:sz="8" w:space="0" w:color="2F9FD0" w:themeColor="accent1"/>
          <w:left w:val="single" w:sz="8" w:space="0" w:color="2F9FD0" w:themeColor="accent1"/>
          <w:bottom w:val="single" w:sz="8" w:space="0" w:color="2F9FD0" w:themeColor="accent1"/>
          <w:right w:val="single" w:sz="8" w:space="0" w:color="2F9FD0" w:themeColor="accent1"/>
        </w:tcBorders>
      </w:tcPr>
    </w:tblStylePr>
  </w:style>
  <w:style w:type="table" w:styleId="DarkList-Accent1">
    <w:name w:val="Dark List Accent 1"/>
    <w:basedOn w:val="TableNormal"/>
    <w:uiPriority w:val="70"/>
    <w:rsid w:val="003B6DB9"/>
    <w:pPr>
      <w:spacing w:after="0" w:line="240" w:lineRule="auto"/>
    </w:pPr>
    <w:rPr>
      <w:rFonts w:eastAsiaTheme="minorHAnsi"/>
      <w:color w:val="FFFFFF" w:themeColor="background1"/>
      <w:sz w:val="22"/>
      <w:szCs w:val="22"/>
      <w:lang w:bidi="en-US"/>
    </w:rPr>
    <w:tblPr>
      <w:tblStyleRowBandSize w:val="1"/>
      <w:tblStyleColBandSize w:val="1"/>
    </w:tblPr>
    <w:tcPr>
      <w:shd w:val="clear" w:color="auto" w:fill="2F9FD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BBB" w:themeFill="text1"/>
      </w:tcPr>
    </w:tblStylePr>
    <w:tblStylePr w:type="lastRow">
      <w:tblPr/>
      <w:tcPr>
        <w:tcBorders>
          <w:top w:val="single" w:sz="18" w:space="0" w:color="FFFFFF" w:themeColor="background1"/>
          <w:left w:val="nil"/>
          <w:bottom w:val="nil"/>
          <w:right w:val="nil"/>
          <w:insideH w:val="nil"/>
          <w:insideV w:val="nil"/>
        </w:tcBorders>
        <w:shd w:val="clear" w:color="auto" w:fill="174F6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769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769B" w:themeFill="accent1" w:themeFillShade="BF"/>
      </w:tcPr>
    </w:tblStylePr>
    <w:tblStylePr w:type="band1Vert">
      <w:tblPr/>
      <w:tcPr>
        <w:tcBorders>
          <w:top w:val="nil"/>
          <w:left w:val="nil"/>
          <w:bottom w:val="nil"/>
          <w:right w:val="nil"/>
          <w:insideH w:val="nil"/>
          <w:insideV w:val="nil"/>
        </w:tcBorders>
        <w:shd w:val="clear" w:color="auto" w:fill="23769B" w:themeFill="accent1" w:themeFillShade="BF"/>
      </w:tcPr>
    </w:tblStylePr>
    <w:tblStylePr w:type="band1Horz">
      <w:tblPr/>
      <w:tcPr>
        <w:tcBorders>
          <w:top w:val="nil"/>
          <w:left w:val="nil"/>
          <w:bottom w:val="nil"/>
          <w:right w:val="nil"/>
          <w:insideH w:val="nil"/>
          <w:insideV w:val="nil"/>
        </w:tcBorders>
        <w:shd w:val="clear" w:color="auto" w:fill="23769B" w:themeFill="accent1" w:themeFillShade="BF"/>
      </w:tcPr>
    </w:tblStylePr>
  </w:style>
  <w:style w:type="table" w:styleId="MediumGrid1-Accent1">
    <w:name w:val="Medium Grid 1 Accent 1"/>
    <w:basedOn w:val="TableNormal"/>
    <w:uiPriority w:val="67"/>
    <w:rsid w:val="003B6DB9"/>
    <w:pPr>
      <w:spacing w:after="0" w:line="240" w:lineRule="auto"/>
    </w:pPr>
    <w:rPr>
      <w:rFonts w:eastAsiaTheme="minorHAnsi"/>
      <w:sz w:val="22"/>
      <w:szCs w:val="22"/>
      <w:lang w:bidi="en-US"/>
    </w:rPr>
    <w:tblPr>
      <w:tblStyleRowBandSize w:val="1"/>
      <w:tblStyleColBandSize w:val="1"/>
      <w:tblBorders>
        <w:top w:val="single" w:sz="8"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single" w:sz="8" w:space="0" w:color="63B6DB" w:themeColor="accent1" w:themeTint="BF"/>
        <w:insideV w:val="single" w:sz="8" w:space="0" w:color="63B6DB" w:themeColor="accent1" w:themeTint="BF"/>
      </w:tblBorders>
    </w:tblPr>
    <w:tcPr>
      <w:shd w:val="clear" w:color="auto" w:fill="CBE7F3" w:themeFill="accent1" w:themeFillTint="3F"/>
    </w:tcPr>
    <w:tblStylePr w:type="firstRow">
      <w:rPr>
        <w:b/>
        <w:bCs/>
      </w:rPr>
    </w:tblStylePr>
    <w:tblStylePr w:type="lastRow">
      <w:rPr>
        <w:b/>
        <w:bCs/>
      </w:rPr>
      <w:tblPr/>
      <w:tcPr>
        <w:tcBorders>
          <w:top w:val="single" w:sz="18" w:space="0" w:color="63B6DB" w:themeColor="accent1" w:themeTint="BF"/>
        </w:tcBorders>
      </w:tcPr>
    </w:tblStylePr>
    <w:tblStylePr w:type="firstCol">
      <w:rPr>
        <w:b/>
        <w:bCs/>
      </w:rPr>
    </w:tblStylePr>
    <w:tblStylePr w:type="lastCol">
      <w:rPr>
        <w:b/>
        <w:bCs/>
      </w:rPr>
    </w:tblStylePr>
    <w:tblStylePr w:type="band1Vert">
      <w:tblPr/>
      <w:tcPr>
        <w:shd w:val="clear" w:color="auto" w:fill="97CFE7" w:themeFill="accent1" w:themeFillTint="7F"/>
      </w:tcPr>
    </w:tblStylePr>
    <w:tblStylePr w:type="band1Horz">
      <w:tblPr/>
      <w:tcPr>
        <w:shd w:val="clear" w:color="auto" w:fill="97CFE7" w:themeFill="accent1" w:themeFillTint="7F"/>
      </w:tcPr>
    </w:tblStylePr>
  </w:style>
  <w:style w:type="table" w:customStyle="1" w:styleId="MediumShading1-Accent12">
    <w:name w:val="Medium Shading 1 - Accent 12"/>
    <w:basedOn w:val="TableNormal"/>
    <w:uiPriority w:val="63"/>
    <w:rsid w:val="003B6DB9"/>
    <w:pPr>
      <w:spacing w:after="0" w:line="240" w:lineRule="auto"/>
    </w:pPr>
    <w:rPr>
      <w:rFonts w:eastAsiaTheme="minorHAnsi"/>
      <w:sz w:val="22"/>
      <w:szCs w:val="22"/>
      <w:lang w:bidi="en-US"/>
    </w:rPr>
    <w:tblPr>
      <w:tblStyleRowBandSize w:val="1"/>
      <w:tblStyleColBandSize w:val="1"/>
      <w:tblBorders>
        <w:top w:val="single" w:sz="8"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single" w:sz="8" w:space="0" w:color="63B6DB" w:themeColor="accent1" w:themeTint="BF"/>
      </w:tblBorders>
    </w:tblPr>
    <w:tblStylePr w:type="firstRow">
      <w:pPr>
        <w:spacing w:before="0" w:after="0" w:line="240" w:lineRule="auto"/>
      </w:pPr>
      <w:rPr>
        <w:b/>
        <w:bCs/>
        <w:color w:val="FFFFFF" w:themeColor="background1"/>
      </w:rPr>
      <w:tblPr/>
      <w:tcPr>
        <w:tcBorders>
          <w:top w:val="single" w:sz="8"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nil"/>
          <w:insideV w:val="nil"/>
        </w:tcBorders>
        <w:shd w:val="clear" w:color="auto" w:fill="2F9FD0" w:themeFill="accent1"/>
      </w:tcPr>
    </w:tblStylePr>
    <w:tblStylePr w:type="lastRow">
      <w:pPr>
        <w:spacing w:before="0" w:after="0" w:line="240" w:lineRule="auto"/>
      </w:pPr>
      <w:rPr>
        <w:b/>
        <w:bCs/>
      </w:rPr>
      <w:tblPr/>
      <w:tcPr>
        <w:tcBorders>
          <w:top w:val="double" w:sz="6" w:space="0" w:color="63B6DB" w:themeColor="accent1" w:themeTint="BF"/>
          <w:left w:val="single" w:sz="8" w:space="0" w:color="63B6DB" w:themeColor="accent1" w:themeTint="BF"/>
          <w:bottom w:val="single" w:sz="8" w:space="0" w:color="63B6DB" w:themeColor="accent1" w:themeTint="BF"/>
          <w:right w:val="single" w:sz="8" w:space="0" w:color="63B6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7F3" w:themeFill="accent1" w:themeFillTint="3F"/>
      </w:tcPr>
    </w:tblStylePr>
    <w:tblStylePr w:type="band1Horz">
      <w:tblPr/>
      <w:tcPr>
        <w:tcBorders>
          <w:insideH w:val="nil"/>
          <w:insideV w:val="nil"/>
        </w:tcBorders>
        <w:shd w:val="clear" w:color="auto" w:fill="CBE7F3"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3B6DB9"/>
    <w:pPr>
      <w:spacing w:after="0" w:line="240" w:lineRule="auto"/>
    </w:pPr>
    <w:rPr>
      <w:rFonts w:eastAsiaTheme="minorHAnsi"/>
      <w:sz w:val="22"/>
      <w:szCs w:val="22"/>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3"/>
      </w:tcPr>
    </w:tblStylePr>
    <w:tblStylePr w:type="lastCol">
      <w:rPr>
        <w:b/>
        <w:bCs/>
        <w:color w:val="FFFFFF" w:themeColor="background1"/>
      </w:rPr>
      <w:tblPr/>
      <w:tcPr>
        <w:tcBorders>
          <w:left w:val="nil"/>
          <w:right w:val="nil"/>
          <w:insideH w:val="nil"/>
          <w:insideV w:val="nil"/>
        </w:tcBorders>
        <w:shd w:val="clear" w:color="auto" w:fill="66666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3B6DB9"/>
    <w:pPr>
      <w:spacing w:after="0" w:line="240" w:lineRule="auto"/>
    </w:pPr>
    <w:rPr>
      <w:rFonts w:eastAsiaTheme="minorHAnsi"/>
      <w:sz w:val="22"/>
      <w:szCs w:val="22"/>
      <w:lang w:bidi="en-US"/>
    </w:rPr>
    <w:tblPr>
      <w:tblStyleRowBandSize w:val="1"/>
      <w:tblStyleColBandSize w:val="1"/>
      <w:tblBorders>
        <w:top w:val="single" w:sz="8" w:space="0" w:color="2F9FD0" w:themeColor="accent1"/>
        <w:left w:val="single" w:sz="8" w:space="0" w:color="2F9FD0" w:themeColor="accent1"/>
        <w:bottom w:val="single" w:sz="8" w:space="0" w:color="2F9FD0" w:themeColor="accent1"/>
        <w:right w:val="single" w:sz="8" w:space="0" w:color="2F9FD0" w:themeColor="accent1"/>
      </w:tblBorders>
    </w:tblPr>
    <w:tblStylePr w:type="firstRow">
      <w:pPr>
        <w:spacing w:before="0" w:after="0" w:line="240" w:lineRule="auto"/>
      </w:pPr>
      <w:rPr>
        <w:b/>
        <w:bCs/>
        <w:color w:val="FFFFFF" w:themeColor="background1"/>
      </w:rPr>
      <w:tblPr/>
      <w:tcPr>
        <w:shd w:val="clear" w:color="auto" w:fill="2F9FD0" w:themeFill="accent1"/>
      </w:tcPr>
    </w:tblStylePr>
    <w:tblStylePr w:type="lastRow">
      <w:pPr>
        <w:spacing w:before="0" w:after="0" w:line="240" w:lineRule="auto"/>
      </w:pPr>
      <w:rPr>
        <w:b/>
        <w:bCs/>
      </w:rPr>
      <w:tblPr/>
      <w:tcPr>
        <w:tcBorders>
          <w:top w:val="double" w:sz="6" w:space="0" w:color="2F9FD0" w:themeColor="accent1"/>
          <w:left w:val="single" w:sz="8" w:space="0" w:color="2F9FD0" w:themeColor="accent1"/>
          <w:bottom w:val="single" w:sz="8" w:space="0" w:color="2F9FD0" w:themeColor="accent1"/>
          <w:right w:val="single" w:sz="8" w:space="0" w:color="2F9FD0" w:themeColor="accent1"/>
        </w:tcBorders>
      </w:tcPr>
    </w:tblStylePr>
    <w:tblStylePr w:type="firstCol">
      <w:rPr>
        <w:b/>
        <w:bCs/>
      </w:rPr>
    </w:tblStylePr>
    <w:tblStylePr w:type="lastCol">
      <w:rPr>
        <w:b/>
        <w:bCs/>
      </w:rPr>
    </w:tblStylePr>
    <w:tblStylePr w:type="band1Vert">
      <w:tblPr/>
      <w:tcPr>
        <w:tcBorders>
          <w:top w:val="single" w:sz="8" w:space="0" w:color="2F9FD0" w:themeColor="accent1"/>
          <w:left w:val="single" w:sz="8" w:space="0" w:color="2F9FD0" w:themeColor="accent1"/>
          <w:bottom w:val="single" w:sz="8" w:space="0" w:color="2F9FD0" w:themeColor="accent1"/>
          <w:right w:val="single" w:sz="8" w:space="0" w:color="2F9FD0" w:themeColor="accent1"/>
        </w:tcBorders>
      </w:tcPr>
    </w:tblStylePr>
    <w:tblStylePr w:type="band1Horz">
      <w:tblPr/>
      <w:tcPr>
        <w:tcBorders>
          <w:top w:val="single" w:sz="8" w:space="0" w:color="2F9FD0" w:themeColor="accent1"/>
          <w:left w:val="single" w:sz="8" w:space="0" w:color="2F9FD0" w:themeColor="accent1"/>
          <w:bottom w:val="single" w:sz="8" w:space="0" w:color="2F9FD0" w:themeColor="accent1"/>
          <w:right w:val="single" w:sz="8" w:space="0" w:color="2F9FD0" w:themeColor="accent1"/>
        </w:tcBorders>
      </w:tcPr>
    </w:tblStylePr>
  </w:style>
  <w:style w:type="paragraph" w:customStyle="1" w:styleId="newlist">
    <w:name w:val="new list"/>
    <w:basedOn w:val="Heading2"/>
    <w:link w:val="newlistChar"/>
    <w:rsid w:val="005741CC"/>
    <w:pPr>
      <w:numPr>
        <w:numId w:val="2"/>
      </w:numPr>
    </w:pPr>
  </w:style>
  <w:style w:type="paragraph" w:customStyle="1" w:styleId="subhead2">
    <w:name w:val="subhead2"/>
    <w:basedOn w:val="Normal"/>
    <w:link w:val="subhead2Char"/>
    <w:qFormat/>
    <w:rsid w:val="0043657F"/>
    <w:rPr>
      <w:i/>
      <w:u w:val="single"/>
    </w:rPr>
  </w:style>
  <w:style w:type="character" w:customStyle="1" w:styleId="newlistChar">
    <w:name w:val="new list Char"/>
    <w:basedOn w:val="Heading2Char"/>
    <w:link w:val="newlist"/>
    <w:rsid w:val="005741CC"/>
    <w:rPr>
      <w:rFonts w:ascii="Georgia" w:eastAsiaTheme="majorEastAsia" w:hAnsi="Georgia" w:cstheme="majorBidi"/>
      <w:color w:val="990000"/>
      <w:sz w:val="32"/>
      <w:szCs w:val="36"/>
    </w:rPr>
  </w:style>
  <w:style w:type="character" w:styleId="FollowedHyperlink">
    <w:name w:val="FollowedHyperlink"/>
    <w:basedOn w:val="DefaultParagraphFont"/>
    <w:uiPriority w:val="99"/>
    <w:semiHidden/>
    <w:unhideWhenUsed/>
    <w:rsid w:val="000457E0"/>
    <w:rPr>
      <w:color w:val="00A69C" w:themeColor="followedHyperlink"/>
      <w:u w:val="single"/>
    </w:rPr>
  </w:style>
  <w:style w:type="character" w:customStyle="1" w:styleId="subhead2Char">
    <w:name w:val="subhead2 Char"/>
    <w:basedOn w:val="DefaultParagraphFont"/>
    <w:link w:val="subhead2"/>
    <w:rsid w:val="0043657F"/>
    <w:rPr>
      <w:rFonts w:ascii="Georgia" w:hAnsi="Georgia" w:cstheme="minorHAnsi"/>
      <w:i/>
      <w:sz w:val="22"/>
      <w:szCs w:val="22"/>
      <w:u w:val="single"/>
    </w:rPr>
  </w:style>
  <w:style w:type="paragraph" w:customStyle="1" w:styleId="normal2">
    <w:name w:val="normal2"/>
    <w:basedOn w:val="Normal"/>
    <w:link w:val="normal2Char"/>
    <w:qFormat/>
    <w:rsid w:val="00EF3BE7"/>
    <w:pPr>
      <w:ind w:left="720"/>
    </w:pPr>
  </w:style>
  <w:style w:type="paragraph" w:customStyle="1" w:styleId="learnmore">
    <w:name w:val="learn more"/>
    <w:basedOn w:val="normal2"/>
    <w:link w:val="learnmoreChar"/>
    <w:rsid w:val="00CA1026"/>
    <w:pPr>
      <w:spacing w:after="0"/>
    </w:pPr>
    <w:rPr>
      <w:b/>
      <w:i/>
      <w:color w:val="727272" w:themeColor="background2" w:themeShade="80"/>
      <w:sz w:val="20"/>
    </w:rPr>
  </w:style>
  <w:style w:type="character" w:customStyle="1" w:styleId="normal2Char">
    <w:name w:val="normal2 Char"/>
    <w:basedOn w:val="DefaultParagraphFont"/>
    <w:link w:val="normal2"/>
    <w:rsid w:val="00EF3BE7"/>
    <w:rPr>
      <w:rFonts w:ascii="Georgia" w:eastAsia="Times New Roman" w:hAnsi="Georgia" w:cstheme="minorHAnsi"/>
      <w:sz w:val="22"/>
      <w:szCs w:val="22"/>
    </w:rPr>
  </w:style>
  <w:style w:type="paragraph" w:customStyle="1" w:styleId="heading3a">
    <w:name w:val="heading3a"/>
    <w:basedOn w:val="Heading5"/>
    <w:link w:val="heading3aChar"/>
    <w:rsid w:val="004B7E3F"/>
  </w:style>
  <w:style w:type="character" w:customStyle="1" w:styleId="learnmoreChar">
    <w:name w:val="learn more Char"/>
    <w:basedOn w:val="normal2Char"/>
    <w:link w:val="learnmore"/>
    <w:rsid w:val="00CA1026"/>
    <w:rPr>
      <w:rFonts w:ascii="Georgia" w:eastAsia="Times New Roman" w:hAnsi="Georgia" w:cstheme="minorHAnsi"/>
      <w:b/>
      <w:i/>
      <w:color w:val="727272" w:themeColor="background2" w:themeShade="80"/>
      <w:sz w:val="20"/>
      <w:szCs w:val="22"/>
    </w:rPr>
  </w:style>
  <w:style w:type="character" w:customStyle="1" w:styleId="heading3aChar">
    <w:name w:val="heading3a Char"/>
    <w:basedOn w:val="heading3Char0"/>
    <w:link w:val="heading3a"/>
    <w:rsid w:val="004B7E3F"/>
    <w:rPr>
      <w:rFonts w:ascii="Georgia" w:eastAsiaTheme="majorEastAsia" w:hAnsi="Georgia" w:cstheme="majorBidi"/>
      <w:b/>
      <w:i/>
      <w:color w:val="002060"/>
      <w:sz w:val="24"/>
      <w:szCs w:val="24"/>
    </w:rPr>
  </w:style>
  <w:style w:type="paragraph" w:customStyle="1" w:styleId="subheaad-section">
    <w:name w:val="subheaad-section"/>
    <w:basedOn w:val="subhead2"/>
    <w:link w:val="subheaad-sectionChar"/>
    <w:qFormat/>
    <w:rsid w:val="00B05D7B"/>
    <w:pPr>
      <w:ind w:left="0"/>
    </w:pPr>
    <w:rPr>
      <w:u w:val="none"/>
    </w:rPr>
  </w:style>
  <w:style w:type="character" w:customStyle="1" w:styleId="subheaad-sectionChar">
    <w:name w:val="subheaad-section Char"/>
    <w:basedOn w:val="subhead2Char"/>
    <w:link w:val="subheaad-section"/>
    <w:rsid w:val="00B05D7B"/>
    <w:rPr>
      <w:rFonts w:ascii="Georgia" w:eastAsia="Times New Roman" w:hAnsi="Georgia" w:cstheme="minorHAnsi"/>
      <w:i/>
      <w:sz w:val="24"/>
      <w:szCs w:val="22"/>
      <w:u w:val="single"/>
    </w:rPr>
  </w:style>
  <w:style w:type="character" w:styleId="CommentReference">
    <w:name w:val="annotation reference"/>
    <w:basedOn w:val="DefaultParagraphFont"/>
    <w:uiPriority w:val="99"/>
    <w:semiHidden/>
    <w:unhideWhenUsed/>
    <w:rsid w:val="005B2AB6"/>
    <w:rPr>
      <w:sz w:val="16"/>
      <w:szCs w:val="16"/>
    </w:rPr>
  </w:style>
  <w:style w:type="paragraph" w:styleId="CommentText">
    <w:name w:val="annotation text"/>
    <w:basedOn w:val="Normal"/>
    <w:link w:val="CommentTextChar"/>
    <w:uiPriority w:val="99"/>
    <w:unhideWhenUsed/>
    <w:rsid w:val="005B2AB6"/>
    <w:rPr>
      <w:sz w:val="20"/>
      <w:szCs w:val="20"/>
    </w:rPr>
  </w:style>
  <w:style w:type="character" w:customStyle="1" w:styleId="CommentTextChar">
    <w:name w:val="Comment Text Char"/>
    <w:basedOn w:val="DefaultParagraphFont"/>
    <w:link w:val="CommentText"/>
    <w:uiPriority w:val="99"/>
    <w:rsid w:val="005B2AB6"/>
    <w:rPr>
      <w:rFonts w:ascii="Georgia" w:eastAsia="Times New Roman" w:hAnsi="Georgia" w:cstheme="minorHAnsi"/>
      <w:sz w:val="20"/>
      <w:szCs w:val="20"/>
    </w:rPr>
  </w:style>
  <w:style w:type="paragraph" w:styleId="CommentSubject">
    <w:name w:val="annotation subject"/>
    <w:basedOn w:val="CommentText"/>
    <w:next w:val="CommentText"/>
    <w:link w:val="CommentSubjectChar"/>
    <w:uiPriority w:val="99"/>
    <w:semiHidden/>
    <w:unhideWhenUsed/>
    <w:rsid w:val="005B2AB6"/>
    <w:rPr>
      <w:b/>
      <w:bCs/>
    </w:rPr>
  </w:style>
  <w:style w:type="character" w:customStyle="1" w:styleId="CommentSubjectChar">
    <w:name w:val="Comment Subject Char"/>
    <w:basedOn w:val="CommentTextChar"/>
    <w:link w:val="CommentSubject"/>
    <w:uiPriority w:val="99"/>
    <w:semiHidden/>
    <w:rsid w:val="005B2AB6"/>
    <w:rPr>
      <w:rFonts w:ascii="Georgia" w:eastAsia="Times New Roman" w:hAnsi="Georgia" w:cstheme="minorHAnsi"/>
      <w:b/>
      <w:bCs/>
      <w:sz w:val="20"/>
      <w:szCs w:val="20"/>
    </w:rPr>
  </w:style>
  <w:style w:type="paragraph" w:customStyle="1" w:styleId="Default">
    <w:name w:val="Default"/>
    <w:rsid w:val="004C53F8"/>
    <w:pPr>
      <w:autoSpaceDE w:val="0"/>
      <w:autoSpaceDN w:val="0"/>
      <w:adjustRightInd w:val="0"/>
      <w:spacing w:after="0" w:line="240" w:lineRule="auto"/>
    </w:pPr>
    <w:rPr>
      <w:rFonts w:ascii="Georgia" w:hAnsi="Georgia" w:cs="Georgia"/>
      <w:color w:val="000000"/>
      <w:sz w:val="24"/>
      <w:szCs w:val="24"/>
    </w:rPr>
  </w:style>
  <w:style w:type="paragraph" w:customStyle="1" w:styleId="Heading2a">
    <w:name w:val="Heading 2a"/>
    <w:basedOn w:val="Heading2"/>
    <w:link w:val="Heading2aChar"/>
    <w:rsid w:val="004B7E3F"/>
  </w:style>
  <w:style w:type="paragraph" w:customStyle="1" w:styleId="DecimalAligned">
    <w:name w:val="Decimal Aligned"/>
    <w:basedOn w:val="Normal"/>
    <w:uiPriority w:val="40"/>
    <w:qFormat/>
    <w:rsid w:val="00AD1185"/>
    <w:pPr>
      <w:tabs>
        <w:tab w:val="decimal" w:pos="360"/>
      </w:tabs>
      <w:spacing w:after="200"/>
      <w:ind w:left="0"/>
    </w:pPr>
    <w:rPr>
      <w:rFonts w:asciiTheme="minorHAnsi" w:eastAsiaTheme="minorEastAsia" w:hAnsiTheme="minorHAnsi" w:cs="Times New Roman"/>
    </w:rPr>
  </w:style>
  <w:style w:type="character" w:customStyle="1" w:styleId="Heading2aChar">
    <w:name w:val="Heading 2a Char"/>
    <w:basedOn w:val="Heading2Char"/>
    <w:link w:val="Heading2a"/>
    <w:rsid w:val="004B7E3F"/>
    <w:rPr>
      <w:rFonts w:ascii="Georgia" w:eastAsiaTheme="majorEastAsia" w:hAnsi="Georgia" w:cstheme="majorBidi"/>
      <w:color w:val="990000"/>
      <w:sz w:val="32"/>
      <w:szCs w:val="36"/>
    </w:rPr>
  </w:style>
  <w:style w:type="paragraph" w:styleId="FootnoteText">
    <w:name w:val="footnote text"/>
    <w:basedOn w:val="Normal"/>
    <w:link w:val="FootnoteTextChar"/>
    <w:uiPriority w:val="99"/>
    <w:unhideWhenUsed/>
    <w:rsid w:val="00AD1185"/>
    <w:pPr>
      <w:spacing w:after="0"/>
      <w:ind w:left="0"/>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AD1185"/>
    <w:rPr>
      <w:rFonts w:cs="Times New Roman"/>
      <w:sz w:val="20"/>
      <w:szCs w:val="20"/>
    </w:rPr>
  </w:style>
  <w:style w:type="paragraph" w:customStyle="1" w:styleId="Level4">
    <w:name w:val="Level 4"/>
    <w:basedOn w:val="heading3a"/>
    <w:link w:val="Level4Char"/>
    <w:qFormat/>
    <w:rsid w:val="00297279"/>
    <w:pPr>
      <w:spacing w:before="240"/>
    </w:pPr>
  </w:style>
  <w:style w:type="paragraph" w:customStyle="1" w:styleId="LearnMore0">
    <w:name w:val="LearnMore"/>
    <w:basedOn w:val="Normal"/>
    <w:link w:val="LearnMoreChar0"/>
    <w:qFormat/>
    <w:rsid w:val="00297279"/>
    <w:pPr>
      <w:spacing w:after="100" w:afterAutospacing="1"/>
      <w:ind w:left="1166"/>
    </w:pPr>
    <w:rPr>
      <w:i/>
      <w:color w:val="727272" w:themeColor="background2" w:themeShade="80"/>
    </w:rPr>
  </w:style>
  <w:style w:type="character" w:customStyle="1" w:styleId="Level4Char">
    <w:name w:val="Level 4 Char"/>
    <w:basedOn w:val="heading3aChar"/>
    <w:link w:val="Level4"/>
    <w:rsid w:val="00297279"/>
    <w:rPr>
      <w:rFonts w:ascii="Georgia" w:eastAsiaTheme="majorEastAsia" w:hAnsi="Georgia" w:cstheme="majorBidi"/>
      <w:b/>
      <w:i/>
      <w:color w:val="002060"/>
      <w:sz w:val="24"/>
      <w:szCs w:val="24"/>
    </w:rPr>
  </w:style>
  <w:style w:type="paragraph" w:customStyle="1" w:styleId="bulletub2">
    <w:name w:val="bulletub2"/>
    <w:basedOn w:val="bulletub"/>
    <w:link w:val="bulletub2Char"/>
    <w:qFormat/>
    <w:rsid w:val="00FF345B"/>
    <w:pPr>
      <w:numPr>
        <w:numId w:val="8"/>
      </w:numPr>
    </w:pPr>
  </w:style>
  <w:style w:type="character" w:customStyle="1" w:styleId="LearnMoreChar0">
    <w:name w:val="LearnMore Char"/>
    <w:basedOn w:val="DefaultParagraphFont"/>
    <w:link w:val="LearnMore0"/>
    <w:rsid w:val="00297279"/>
    <w:rPr>
      <w:rFonts w:ascii="Georgia" w:eastAsia="Times New Roman" w:hAnsi="Georgia" w:cstheme="minorHAnsi"/>
      <w:i/>
      <w:color w:val="727272" w:themeColor="background2" w:themeShade="80"/>
      <w:sz w:val="24"/>
      <w:szCs w:val="24"/>
    </w:rPr>
  </w:style>
  <w:style w:type="paragraph" w:customStyle="1" w:styleId="List1">
    <w:name w:val="List 1)"/>
    <w:basedOn w:val="subsectionno"/>
    <w:link w:val="List1Char"/>
    <w:qFormat/>
    <w:rsid w:val="00D906D8"/>
    <w:pPr>
      <w:ind w:left="720"/>
    </w:pPr>
  </w:style>
  <w:style w:type="character" w:customStyle="1" w:styleId="bulletub2Char">
    <w:name w:val="bulletub2 Char"/>
    <w:basedOn w:val="bulletubChar"/>
    <w:link w:val="bulletub2"/>
    <w:rsid w:val="00FF345B"/>
    <w:rPr>
      <w:rFonts w:ascii="Georgia" w:eastAsia="Times New Roman" w:hAnsi="Georgia" w:cstheme="minorHAnsi"/>
      <w:i w:val="0"/>
      <w:sz w:val="24"/>
      <w:szCs w:val="24"/>
    </w:rPr>
  </w:style>
  <w:style w:type="character" w:customStyle="1" w:styleId="List1Char">
    <w:name w:val="List 1) Char"/>
    <w:basedOn w:val="subsectionnoChar"/>
    <w:link w:val="List1"/>
    <w:rsid w:val="00D906D8"/>
    <w:rPr>
      <w:rFonts w:ascii="Georgia" w:eastAsia="Times New Roman" w:hAnsi="Georgia" w:cstheme="minorHAnsi"/>
      <w:i w:val="0"/>
      <w:sz w:val="24"/>
      <w:szCs w:val="24"/>
    </w:rPr>
  </w:style>
  <w:style w:type="paragraph" w:styleId="Revision">
    <w:name w:val="Revision"/>
    <w:hidden/>
    <w:uiPriority w:val="99"/>
    <w:semiHidden/>
    <w:rsid w:val="00E53D35"/>
    <w:pPr>
      <w:spacing w:after="0" w:line="240" w:lineRule="auto"/>
    </w:pPr>
    <w:rPr>
      <w:rFonts w:ascii="Georgia" w:eastAsia="Times New Roman" w:hAnsi="Georgia" w:cstheme="minorHAnsi"/>
      <w:sz w:val="22"/>
      <w:szCs w:val="22"/>
    </w:rPr>
  </w:style>
  <w:style w:type="paragraph" w:customStyle="1" w:styleId="Level5">
    <w:name w:val="Level 5"/>
    <w:basedOn w:val="Level4"/>
    <w:link w:val="Level5Char"/>
    <w:qFormat/>
    <w:rsid w:val="00BA2146"/>
    <w:rPr>
      <w:b w:val="0"/>
      <w:i w:val="0"/>
      <w:smallCaps/>
      <w:color w:val="auto"/>
    </w:rPr>
  </w:style>
  <w:style w:type="character" w:customStyle="1" w:styleId="Level5Char">
    <w:name w:val="Level 5 Char"/>
    <w:basedOn w:val="Level4Char"/>
    <w:link w:val="Level5"/>
    <w:rsid w:val="00BA2146"/>
    <w:rPr>
      <w:rFonts w:ascii="Georgia" w:eastAsiaTheme="majorEastAsia" w:hAnsi="Georgia" w:cstheme="majorBidi"/>
      <w:b w:val="0"/>
      <w:i w:val="0"/>
      <w:smallCaps/>
      <w:color w:val="002060"/>
      <w:sz w:val="24"/>
      <w:szCs w:val="24"/>
    </w:rPr>
  </w:style>
  <w:style w:type="character" w:customStyle="1" w:styleId="UnresolvedMention1">
    <w:name w:val="Unresolved Mention1"/>
    <w:basedOn w:val="DefaultParagraphFont"/>
    <w:uiPriority w:val="99"/>
    <w:semiHidden/>
    <w:unhideWhenUsed/>
    <w:rsid w:val="000731C4"/>
    <w:rPr>
      <w:color w:val="605E5C"/>
      <w:shd w:val="clear" w:color="auto" w:fill="E1DFDD"/>
    </w:rPr>
  </w:style>
  <w:style w:type="character" w:customStyle="1" w:styleId="pubdate-label">
    <w:name w:val="pubdate-label"/>
    <w:basedOn w:val="DefaultParagraphFont"/>
    <w:rsid w:val="00DA6BF8"/>
  </w:style>
  <w:style w:type="character" w:customStyle="1" w:styleId="pubdate-date">
    <w:name w:val="pubdate-date"/>
    <w:basedOn w:val="DefaultParagraphFont"/>
    <w:rsid w:val="00DA6BF8"/>
  </w:style>
  <w:style w:type="table" w:customStyle="1" w:styleId="defRCrp">
    <w:name w:val="defRCrp"/>
    <w:basedOn w:val="TableNormal"/>
    <w:rsid w:val="00F232F6"/>
    <w:tblPr/>
  </w:style>
  <w:style w:type="character" w:styleId="PlaceholderText">
    <w:name w:val="Placeholder Text"/>
    <w:basedOn w:val="DefaultParagraphFont"/>
    <w:uiPriority w:val="99"/>
    <w:semiHidden/>
    <w:rsid w:val="008252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buffalo.edu/administrative-services/about-us/achieving-operational-excellence.html" TargetMode="External"/><Relationship Id="rId26" Type="http://schemas.openxmlformats.org/officeDocument/2006/relationships/image" Target="media/image6.png"/><Relationship Id="rId39" Type="http://schemas.openxmlformats.org/officeDocument/2006/relationships/hyperlink" Target="https://myubcard.com/mealplans" TargetMode="External"/><Relationship Id="rId21" Type="http://schemas.openxmlformats.org/officeDocument/2006/relationships/image" Target="media/image2.png"/><Relationship Id="rId34" Type="http://schemas.openxmlformats.org/officeDocument/2006/relationships/hyperlink" Target="https://www.commonfund.org/higher-education-price-index" TargetMode="External"/><Relationship Id="rId42" Type="http://schemas.openxmlformats.org/officeDocument/2006/relationships/hyperlink" Target="http://www.buffalo.edu/administrative-services/managing-money/ubf-funds.html"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uffalo.edu/top25ambition/beyond-UB-2020/living_learning_environment.html" TargetMode="External"/><Relationship Id="rId29" Type="http://schemas.openxmlformats.org/officeDocument/2006/relationships/image" Target="media/image9.png"/><Relationship Id="rId11" Type="http://schemas.openxmlformats.org/officeDocument/2006/relationships/chart" Target="charts/chart1.xml"/><Relationship Id="rId24" Type="http://schemas.openxmlformats.org/officeDocument/2006/relationships/image" Target="media/image4.png"/><Relationship Id="rId32" Type="http://schemas.openxmlformats.org/officeDocument/2006/relationships/hyperlink" Target="http://www.buffalo.edu/administrative-services/policy1/ub-policy-lib/general-univ-service-fee.html" TargetMode="External"/><Relationship Id="rId37" Type="http://schemas.openxmlformats.org/officeDocument/2006/relationships/hyperlink" Target="http://www.buffalo.edu/administrative-services/policy1/ub-policy-lib/financial-mgt-service-ctrs.html" TargetMode="External"/><Relationship Id="rId40" Type="http://schemas.openxmlformats.org/officeDocument/2006/relationships/hyperlink" Target="http://www.buffalo.edu/campusliving/apply-for-housing/rates.html" TargetMode="External"/><Relationship Id="rId45" Type="http://schemas.openxmlformats.org/officeDocument/2006/relationships/header" Target="header2.xml"/><Relationship Id="rId5"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www.buffalo.edu/administrative-services/managing-money/state-funds/create-manage-fees.html" TargetMode="External"/><Relationship Id="rId49" Type="http://schemas.openxmlformats.org/officeDocument/2006/relationships/footer" Target="footer3.xml"/><Relationship Id="rId10" Type="http://schemas.openxmlformats.org/officeDocument/2006/relationships/image" Target="media/image1.png"/><Relationship Id="rId19" Type="http://schemas.microsoft.com/office/2014/relationships/chartEx" Target="charts/chartEx1.xml"/><Relationship Id="rId31" Type="http://schemas.openxmlformats.org/officeDocument/2006/relationships/hyperlink" Target="https://www.buffalo.edu/administrative-services/managing-money/fee-development-and-cost-accounting/university-fees.html" TargetMode="External"/><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4.xml"/><Relationship Id="rId22" Type="http://schemas.microsoft.com/office/2014/relationships/chartEx" Target="charts/chartEx2.xml"/><Relationship Id="rId27" Type="http://schemas.openxmlformats.org/officeDocument/2006/relationships/image" Target="media/image7.png"/><Relationship Id="rId30" Type="http://schemas.openxmlformats.org/officeDocument/2006/relationships/hyperlink" Target="https://www.buffalo.edu/administrative-services/policy1/ub-policy-lib/facilities-admin-cost-recovery.html" TargetMode="External"/><Relationship Id="rId35" Type="http://schemas.openxmlformats.org/officeDocument/2006/relationships/hyperlink" Target="http://www.buffalo.edu/administrative-services/managing-money/common-fees.html" TargetMode="External"/><Relationship Id="rId43" Type="http://schemas.openxmlformats.org/officeDocument/2006/relationships/hyperlink" Target="http://www.buffalo.edu/administrative-services/managing-money/key-budget-financial-information/financial.html" TargetMode="External"/><Relationship Id="rId48" Type="http://schemas.openxmlformats.org/officeDocument/2006/relationships/header" Target="header3.xml"/><Relationship Id="rId8" Type="http://schemas.openxmlformats.org/officeDocument/2006/relationships/footnotes" Target="footnote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image" Target="media/image5.png"/><Relationship Id="rId33" Type="http://schemas.openxmlformats.org/officeDocument/2006/relationships/hyperlink" Target="http://www.buffalo.edu/studentaccounts/tuition-and-fees/broad-based-fees.html" TargetMode="External"/><Relationship Id="rId38" Type="http://schemas.openxmlformats.org/officeDocument/2006/relationships/hyperlink" Target="http://www.buffalo.edu/administrative-services/managing-money/common-fees.html" TargetMode="External"/><Relationship Id="rId46" Type="http://schemas.openxmlformats.org/officeDocument/2006/relationships/footer" Target="footer1.xml"/><Relationship Id="rId41" Type="http://schemas.openxmlformats.org/officeDocument/2006/relationships/hyperlink" Target="https://www.gpo.gov/fdsys/granule/USCODE-2011-title35/USCODE-2011-title35-partII-chap18-sec200/content-detail.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secfs01.acsu.buffalo.edu\itcs_ppr\Prov\RP\Annual_Resource_Planning_Process\2026_27_Fiscal_Year\Unit%20Files\CFP%20and%20MYFP\5.20.2026%20MYFP%20Adjustments%20Template%20and%20Smart%20View%20Load%2026-27.xlsx" TargetMode="External"/><Relationship Id="rId4" Type="http://schemas.openxmlformats.org/officeDocument/2006/relationships/themeOverride" Target="../theme/themeOverride6.xml"/></Relationships>
</file>

<file path=word/charts/_rels/chartEx2.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secfs01.acsu.buffalo.edu\itcs_ppr\prov\RP\Annual_Resource_Planning_Process\2026_27_Fiscal_Year\University%20Views\2026-27%20ARPP%20Investment%20Proposals_3-25-2026_Updated%20ASW%205_26_26.xlsx" TargetMode="External"/><Relationship Id="rId4"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670793953446407E-2"/>
          <c:y val="0.10505347624498479"/>
          <c:w val="0.7903572990876141"/>
          <c:h val="0.74743932289362702"/>
        </c:manualLayout>
      </c:layout>
      <c:pie3DChart>
        <c:varyColors val="1"/>
        <c:ser>
          <c:idx val="0"/>
          <c:order val="0"/>
          <c:dPt>
            <c:idx val="0"/>
            <c:bubble3D val="0"/>
            <c:spPr>
              <a:solidFill>
                <a:schemeClr val="accent4">
                  <a:lumMod val="20000"/>
                  <a:lumOff val="80000"/>
                </a:schemeClr>
              </a:solidFill>
              <a:ln>
                <a:noFill/>
              </a:ln>
              <a:effectLst/>
              <a:sp3d/>
            </c:spPr>
            <c:extLst>
              <c:ext xmlns:c16="http://schemas.microsoft.com/office/drawing/2014/chart" uri="{C3380CC4-5D6E-409C-BE32-E72D297353CC}">
                <c16:uniqueId val="{00000001-96ED-4942-B28D-65F2F993675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96ED-4942-B28D-65F2F993675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96ED-4942-B28D-65F2F993675C}"/>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96ED-4942-B28D-65F2F993675C}"/>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96ED-4942-B28D-65F2F993675C}"/>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96ED-4942-B28D-65F2F993675C}"/>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96ED-4942-B28D-65F2F993675C}"/>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F-96ED-4942-B28D-65F2F993675C}"/>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1-96ED-4942-B28D-65F2F993675C}"/>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3-96ED-4942-B28D-65F2F993675C}"/>
              </c:ext>
            </c:extLst>
          </c:dPt>
          <c:dLbls>
            <c:dLbl>
              <c:idx val="0"/>
              <c:layout>
                <c:manualLayout>
                  <c:x val="0.12417432745529924"/>
                  <c:y val="3.2730740118159388E-3"/>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6ED-4942-B28D-65F2F993675C}"/>
                </c:ext>
              </c:extLst>
            </c:dLbl>
            <c:dLbl>
              <c:idx val="1"/>
              <c:layout>
                <c:manualLayout>
                  <c:x val="0.13704234206905042"/>
                  <c:y val="-1.3080892978265358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6ED-4942-B28D-65F2F993675C}"/>
                </c:ext>
              </c:extLst>
            </c:dLbl>
            <c:dLbl>
              <c:idx val="2"/>
              <c:layout>
                <c:manualLayout>
                  <c:x val="5.5584835815121102E-2"/>
                  <c:y val="4.339890098007409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6ED-4942-B28D-65F2F993675C}"/>
                </c:ext>
              </c:extLst>
            </c:dLbl>
            <c:dLbl>
              <c:idx val="3"/>
              <c:layout>
                <c:manualLayout>
                  <c:x val="6.788764469767912E-2"/>
                  <c:y val="-4.9178290915882703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6ED-4942-B28D-65F2F993675C}"/>
                </c:ext>
              </c:extLst>
            </c:dLbl>
            <c:dLbl>
              <c:idx val="4"/>
              <c:layout>
                <c:manualLayout>
                  <c:x val="8.6421804966686708E-2"/>
                  <c:y val="-4.9204620347566792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6ED-4942-B28D-65F2F993675C}"/>
                </c:ext>
              </c:extLst>
            </c:dLbl>
            <c:dLbl>
              <c:idx val="5"/>
              <c:layout>
                <c:manualLayout>
                  <c:x val="0.16794508378760348"/>
                  <c:y val="6.3699284285499549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96ED-4942-B28D-65F2F993675C}"/>
                </c:ext>
              </c:extLst>
            </c:dLbl>
            <c:dLbl>
              <c:idx val="6"/>
              <c:layout>
                <c:manualLayout>
                  <c:x val="0.11152642842721583"/>
                  <c:y val="0.11753303964757709"/>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96ED-4942-B28D-65F2F993675C}"/>
                </c:ext>
              </c:extLst>
            </c:dLbl>
            <c:dLbl>
              <c:idx val="7"/>
              <c:layout>
                <c:manualLayout>
                  <c:x val="-0.14860835857056329"/>
                  <c:y val="2.8809878941343785E-2"/>
                </c:manualLayout>
              </c:layout>
              <c:spPr>
                <a:noFill/>
                <a:ln>
                  <a:noFill/>
                </a:ln>
                <a:effectLst/>
              </c:spPr>
              <c:txPr>
                <a:bodyPr rot="0" spcFirstLastPara="1" vertOverflow="ellipsis" vert="horz" wrap="square" lIns="38100" tIns="19050" rIns="38100" bIns="19050" anchor="ctr" anchorCtr="1"/>
                <a:lstStyle/>
                <a:p>
                  <a:pPr>
                    <a:defRPr sz="1100" b="0"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0081857460125172"/>
                      <c:h val="0.17216090279463966"/>
                    </c:manualLayout>
                  </c15:layout>
                </c:ext>
                <c:ext xmlns:c16="http://schemas.microsoft.com/office/drawing/2014/chart" uri="{C3380CC4-5D6E-409C-BE32-E72D297353CC}">
                  <c16:uniqueId val="{0000000F-96ED-4942-B28D-65F2F993675C}"/>
                </c:ext>
              </c:extLst>
            </c:dLbl>
            <c:dLbl>
              <c:idx val="8"/>
              <c:layout>
                <c:manualLayout>
                  <c:x val="-0.10524418213957024"/>
                  <c:y val="-2.240821020967884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96ED-4942-B28D-65F2F993675C}"/>
                </c:ext>
              </c:extLst>
            </c:dLbl>
            <c:dLbl>
              <c:idx val="9"/>
              <c:layout>
                <c:manualLayout>
                  <c:x val="-5.0987202021939834E-2"/>
                  <c:y val="-2.5487992415045034E-2"/>
                </c:manualLayout>
              </c:layout>
              <c:spPr>
                <a:noFill/>
                <a:ln>
                  <a:noFill/>
                </a:ln>
                <a:effectLst/>
              </c:spPr>
              <c:txPr>
                <a:bodyPr rot="0" spcFirstLastPara="1" vertOverflow="ellipsis" vert="horz" wrap="square" lIns="38100" tIns="19050" rIns="38100" bIns="19050" anchor="ctr" anchorCtr="1"/>
                <a:lstStyle/>
                <a:p>
                  <a:pPr>
                    <a:defRPr sz="1100" b="0" i="0" u="none" strike="noStrike" kern="120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7443241935183627"/>
                      <c:h val="0.17389249251332567"/>
                    </c:manualLayout>
                  </c15:layout>
                </c:ext>
                <c:ext xmlns:c16="http://schemas.microsoft.com/office/drawing/2014/chart" uri="{C3380CC4-5D6E-409C-BE32-E72D297353CC}">
                  <c16:uniqueId val="{00000013-96ED-4942-B28D-65F2F993675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dLblPos val="ctr"/>
            <c:showLegendKey val="0"/>
            <c:showVal val="0"/>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 References'!$E$2:$E$11</c:f>
              <c:strCache>
                <c:ptCount val="10"/>
                <c:pt idx="0">
                  <c:v>Fees</c:v>
                </c:pt>
                <c:pt idx="1">
                  <c:v>Auxiliary</c:v>
                </c:pt>
                <c:pt idx="2">
                  <c:v>Service Revenue</c:v>
                </c:pt>
                <c:pt idx="3">
                  <c:v>Other</c:v>
                </c:pt>
                <c:pt idx="4">
                  <c:v>Salary Recovery</c:v>
                </c:pt>
                <c:pt idx="5">
                  <c:v>Gifts</c:v>
                </c:pt>
                <c:pt idx="6">
                  <c:v>Grants</c:v>
                </c:pt>
                <c:pt idx="7">
                  <c:v>Investment Income</c:v>
                </c:pt>
                <c:pt idx="8">
                  <c:v>Tuition</c:v>
                </c:pt>
                <c:pt idx="9">
                  <c:v>Direct State Tax Support</c:v>
                </c:pt>
              </c:strCache>
            </c:strRef>
          </c:cat>
          <c:val>
            <c:numRef>
              <c:f>'1. References'!$B$2:$B$11</c:f>
              <c:numCache>
                <c:formatCode>_("$"* #,##0_);_("$"* \(#,##0\);_("$"* "-"??_);_(@_)</c:formatCode>
                <c:ptCount val="10"/>
                <c:pt idx="0">
                  <c:v>117713717.23780268</c:v>
                </c:pt>
                <c:pt idx="1">
                  <c:v>101454486.5160263</c:v>
                </c:pt>
                <c:pt idx="2">
                  <c:v>19061710.25</c:v>
                </c:pt>
                <c:pt idx="3">
                  <c:v>113758940.48600574</c:v>
                </c:pt>
                <c:pt idx="4">
                  <c:v>23840152.359999999</c:v>
                </c:pt>
                <c:pt idx="5">
                  <c:v>17134994.43</c:v>
                </c:pt>
                <c:pt idx="6">
                  <c:v>48294000</c:v>
                </c:pt>
                <c:pt idx="7">
                  <c:v>51898790</c:v>
                </c:pt>
                <c:pt idx="8">
                  <c:v>375999999.99999994</c:v>
                </c:pt>
                <c:pt idx="9">
                  <c:v>219000000</c:v>
                </c:pt>
              </c:numCache>
            </c:numRef>
          </c:val>
          <c:extLst>
            <c:ext xmlns:c16="http://schemas.microsoft.com/office/drawing/2014/chart" uri="{C3380CC4-5D6E-409C-BE32-E72D297353CC}">
              <c16:uniqueId val="{00000014-96ED-4942-B28D-65F2F993675C}"/>
            </c:ext>
          </c:extLst>
        </c:ser>
        <c:ser>
          <c:idx val="1"/>
          <c:order val="1"/>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16-96ED-4942-B28D-65F2F993675C}"/>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18-96ED-4942-B28D-65F2F993675C}"/>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1A-96ED-4942-B28D-65F2F993675C}"/>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C-96ED-4942-B28D-65F2F993675C}"/>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1E-96ED-4942-B28D-65F2F993675C}"/>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20-96ED-4942-B28D-65F2F993675C}"/>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22-96ED-4942-B28D-65F2F993675C}"/>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24-96ED-4942-B28D-65F2F993675C}"/>
              </c:ext>
            </c:extLst>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26-96ED-4942-B28D-65F2F993675C}"/>
              </c:ext>
            </c:extLst>
          </c:dPt>
          <c:dPt>
            <c:idx val="9"/>
            <c:bubble3D val="0"/>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28-96ED-4942-B28D-65F2F993675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 References'!$E$2:$E$11</c:f>
              <c:strCache>
                <c:ptCount val="10"/>
                <c:pt idx="0">
                  <c:v>Fees</c:v>
                </c:pt>
                <c:pt idx="1">
                  <c:v>Auxiliary</c:v>
                </c:pt>
                <c:pt idx="2">
                  <c:v>Service Revenue</c:v>
                </c:pt>
                <c:pt idx="3">
                  <c:v>Other</c:v>
                </c:pt>
                <c:pt idx="4">
                  <c:v>Salary Recovery</c:v>
                </c:pt>
                <c:pt idx="5">
                  <c:v>Gifts</c:v>
                </c:pt>
                <c:pt idx="6">
                  <c:v>Grants</c:v>
                </c:pt>
                <c:pt idx="7">
                  <c:v>Investment Income</c:v>
                </c:pt>
                <c:pt idx="8">
                  <c:v>Tuition</c:v>
                </c:pt>
                <c:pt idx="9">
                  <c:v>Direct State Tax Support</c:v>
                </c:pt>
              </c:strCache>
            </c:strRef>
          </c:cat>
          <c:val>
            <c:numRef>
              <c:f>'1. References'!$C$2:$C$11</c:f>
              <c:numCache>
                <c:formatCode>0%</c:formatCode>
                <c:ptCount val="10"/>
                <c:pt idx="0">
                  <c:v>0.11</c:v>
                </c:pt>
                <c:pt idx="1">
                  <c:v>0.09</c:v>
                </c:pt>
                <c:pt idx="2">
                  <c:v>0.02</c:v>
                </c:pt>
                <c:pt idx="3">
                  <c:v>0.1</c:v>
                </c:pt>
                <c:pt idx="4">
                  <c:v>0.02</c:v>
                </c:pt>
                <c:pt idx="5">
                  <c:v>0.02</c:v>
                </c:pt>
                <c:pt idx="6">
                  <c:v>0.04</c:v>
                </c:pt>
                <c:pt idx="7">
                  <c:v>0.05</c:v>
                </c:pt>
                <c:pt idx="8">
                  <c:v>0.35</c:v>
                </c:pt>
                <c:pt idx="9">
                  <c:v>0.2</c:v>
                </c:pt>
              </c:numCache>
            </c:numRef>
          </c:val>
          <c:extLst>
            <c:ext xmlns:c16="http://schemas.microsoft.com/office/drawing/2014/chart" uri="{C3380CC4-5D6E-409C-BE32-E72D297353CC}">
              <c16:uniqueId val="{00000029-96ED-4942-B28D-65F2F993675C}"/>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Sheet1!$B$3</c:f>
              <c:strCache>
                <c:ptCount val="1"/>
                <c:pt idx="0">
                  <c:v>State Support</c:v>
                </c:pt>
              </c:strCache>
            </c:strRef>
          </c:tx>
          <c:spPr>
            <a:solidFill>
              <a:schemeClr val="accent4">
                <a:shade val="76000"/>
              </a:schemeClr>
            </a:solidFill>
            <a:ln>
              <a:noFill/>
            </a:ln>
            <a:effectLst/>
          </c:spPr>
          <c:invertIfNegative val="0"/>
          <c:dLbls>
            <c:dLbl>
              <c:idx val="0"/>
              <c:tx>
                <c:rich>
                  <a:bodyPr/>
                  <a:lstStyle/>
                  <a:p>
                    <a:r>
                      <a:rPr lang="en-US"/>
                      <a:t>33%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AFA-4E09-AC08-2FC9F1C69F6A}"/>
                </c:ext>
              </c:extLst>
            </c:dLbl>
            <c:dLbl>
              <c:idx val="1"/>
              <c:tx>
                <c:rich>
                  <a:bodyPr/>
                  <a:lstStyle/>
                  <a:p>
                    <a:r>
                      <a:rPr lang="en-US"/>
                      <a:t>31%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AFA-4E09-AC08-2FC9F1C69F6A}"/>
                </c:ext>
              </c:extLst>
            </c:dLbl>
            <c:dLbl>
              <c:idx val="2"/>
              <c:tx>
                <c:rich>
                  <a:bodyPr/>
                  <a:lstStyle/>
                  <a:p>
                    <a:r>
                      <a:rPr lang="en-US"/>
                      <a:t>33%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AFA-4E09-AC08-2FC9F1C69F6A}"/>
                </c:ext>
              </c:extLst>
            </c:dLbl>
            <c:dLbl>
              <c:idx val="3"/>
              <c:tx>
                <c:rich>
                  <a:bodyPr/>
                  <a:lstStyle/>
                  <a:p>
                    <a:r>
                      <a:rPr lang="en-US"/>
                      <a:t>32%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AFA-4E09-AC08-2FC9F1C69F6A}"/>
                </c:ext>
              </c:extLst>
            </c:dLbl>
            <c:dLbl>
              <c:idx val="4"/>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AFA-4E09-AC08-2FC9F1C69F6A}"/>
                </c:ext>
              </c:extLst>
            </c:dLbl>
            <c:dLbl>
              <c:idx val="5"/>
              <c:tx>
                <c:rich>
                  <a:bodyPr/>
                  <a:lstStyle/>
                  <a:p>
                    <a:r>
                      <a:rPr lang="en-US"/>
                      <a:t>33%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AFA-4E09-AC08-2FC9F1C69F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Sheet1!$A$15:$A$20</c:f>
              <c:strCache>
                <c:ptCount val="6"/>
                <c:pt idx="0">
                  <c:v>2019-20</c:v>
                </c:pt>
                <c:pt idx="1">
                  <c:v>2020-21</c:v>
                </c:pt>
                <c:pt idx="2">
                  <c:v>2021-22</c:v>
                </c:pt>
                <c:pt idx="3">
                  <c:v>2022-23</c:v>
                </c:pt>
                <c:pt idx="4">
                  <c:v>2023-24</c:v>
                </c:pt>
                <c:pt idx="5">
                  <c:v>2024-25</c:v>
                </c:pt>
              </c:strCache>
            </c:strRef>
          </c:cat>
          <c:val>
            <c:numRef>
              <c:f>Sheet1!$B$14:$B$19</c:f>
              <c:numCache>
                <c:formatCode>_("$"* #,##0_);_("$"* \(#,##0\);_("$"* "-"??_);_(@_)</c:formatCode>
                <c:ptCount val="6"/>
                <c:pt idx="0">
                  <c:v>149.155</c:v>
                </c:pt>
                <c:pt idx="1">
                  <c:v>149.155</c:v>
                </c:pt>
                <c:pt idx="2">
                  <c:v>142.70750000000001</c:v>
                </c:pt>
                <c:pt idx="3">
                  <c:v>149.1549</c:v>
                </c:pt>
                <c:pt idx="4">
                  <c:v>149.1549</c:v>
                </c:pt>
                <c:pt idx="5">
                  <c:v>175.42599999999999</c:v>
                </c:pt>
              </c:numCache>
            </c:numRef>
          </c:val>
          <c:extLst>
            <c:ext xmlns:c16="http://schemas.microsoft.com/office/drawing/2014/chart" uri="{C3380CC4-5D6E-409C-BE32-E72D297353CC}">
              <c16:uniqueId val="{00000006-9AFA-4E09-AC08-2FC9F1C69F6A}"/>
            </c:ext>
          </c:extLst>
        </c:ser>
        <c:ser>
          <c:idx val="1"/>
          <c:order val="1"/>
          <c:tx>
            <c:strRef>
              <c:f>Sheet1!$C$3</c:f>
              <c:strCache>
                <c:ptCount val="1"/>
                <c:pt idx="0">
                  <c:v>Campus Revenue</c:v>
                </c:pt>
              </c:strCache>
            </c:strRef>
          </c:tx>
          <c:spPr>
            <a:solidFill>
              <a:schemeClr val="accent4">
                <a:tint val="77000"/>
              </a:schemeClr>
            </a:solidFill>
            <a:ln>
              <a:noFill/>
            </a:ln>
            <a:effectLst/>
          </c:spPr>
          <c:invertIfNegative val="0"/>
          <c:dLbls>
            <c:dLbl>
              <c:idx val="0"/>
              <c:tx>
                <c:rich>
                  <a:bodyPr/>
                  <a:lstStyle/>
                  <a:p>
                    <a:r>
                      <a:rPr lang="en-US"/>
                      <a:t>69%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AFA-4E09-AC08-2FC9F1C69F6A}"/>
                </c:ext>
              </c:extLst>
            </c:dLbl>
            <c:dLbl>
              <c:idx val="1"/>
              <c:tx>
                <c:rich>
                  <a:bodyPr/>
                  <a:lstStyle/>
                  <a:p>
                    <a:r>
                      <a:rPr lang="en-US"/>
                      <a:t>67%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AFA-4E09-AC08-2FC9F1C69F6A}"/>
                </c:ext>
              </c:extLst>
            </c:dLbl>
            <c:dLbl>
              <c:idx val="2"/>
              <c:tx>
                <c:rich>
                  <a:bodyPr/>
                  <a:lstStyle/>
                  <a:p>
                    <a:r>
                      <a:rPr lang="en-US"/>
                      <a:t>68%</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AFA-4E09-AC08-2FC9F1C69F6A}"/>
                </c:ext>
              </c:extLst>
            </c:dLbl>
            <c:dLbl>
              <c:idx val="3"/>
              <c:tx>
                <c:rich>
                  <a:bodyPr/>
                  <a:lstStyle/>
                  <a:p>
                    <a:r>
                      <a:rPr lang="en-US"/>
                      <a:t>70%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AFA-4E09-AC08-2FC9F1C69F6A}"/>
                </c:ext>
              </c:extLst>
            </c:dLbl>
            <c:dLbl>
              <c:idx val="4"/>
              <c:tx>
                <c:rich>
                  <a:bodyPr/>
                  <a:lstStyle/>
                  <a:p>
                    <a:r>
                      <a:rPr lang="en-US"/>
                      <a:t>67%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AFA-4E09-AC08-2FC9F1C69F6A}"/>
                </c:ext>
              </c:extLst>
            </c:dLbl>
            <c:dLbl>
              <c:idx val="5"/>
              <c:tx>
                <c:strRef>
                  <c:f>Sheet1!$F$20</c:f>
                  <c:strCache>
                    <c:ptCount val="1"/>
                    <c:pt idx="0">
                      <c:v>66%</c:v>
                    </c:pt>
                  </c:strCache>
                </c:strRef>
              </c:tx>
              <c:dLblPos val="ctr"/>
              <c:showLegendKey val="0"/>
              <c:showVal val="1"/>
              <c:showCatName val="0"/>
              <c:showSerName val="0"/>
              <c:showPercent val="0"/>
              <c:showBubbleSize val="0"/>
              <c:extLst>
                <c:ext xmlns:c15="http://schemas.microsoft.com/office/drawing/2012/chart" uri="{CE6537A1-D6FC-4f65-9D91-7224C49458BB}">
                  <c15:dlblFieldTable>
                    <c15:dlblFTEntry>
                      <c15:txfldGUID>{AA304B4E-B4FF-4D5D-ADAC-161680F712EF}</c15:txfldGUID>
                      <c15:f>Sheet1!$F$20</c15:f>
                      <c15:dlblFieldTableCache>
                        <c:ptCount val="1"/>
                        <c:pt idx="0">
                          <c:v>66%</c:v>
                        </c:pt>
                      </c15:dlblFieldTableCache>
                    </c15:dlblFTEntry>
                  </c15:dlblFieldTable>
                  <c15:showDataLabelsRange val="0"/>
                </c:ext>
                <c:ext xmlns:c16="http://schemas.microsoft.com/office/drawing/2014/chart" uri="{C3380CC4-5D6E-409C-BE32-E72D297353CC}">
                  <c16:uniqueId val="{0000000C-9AFA-4E09-AC08-2FC9F1C69F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Sheet1!$A$15:$A$20</c:f>
              <c:strCache>
                <c:ptCount val="6"/>
                <c:pt idx="0">
                  <c:v>2019-20</c:v>
                </c:pt>
                <c:pt idx="1">
                  <c:v>2020-21</c:v>
                </c:pt>
                <c:pt idx="2">
                  <c:v>2021-22</c:v>
                </c:pt>
                <c:pt idx="3">
                  <c:v>2022-23</c:v>
                </c:pt>
                <c:pt idx="4">
                  <c:v>2023-24</c:v>
                </c:pt>
                <c:pt idx="5">
                  <c:v>2024-25</c:v>
                </c:pt>
              </c:strCache>
            </c:strRef>
          </c:cat>
          <c:val>
            <c:numRef>
              <c:f>Sheet1!$C$15:$C$20</c:f>
              <c:numCache>
                <c:formatCode>_("$"* #,##0_);_("$"* \(#,##0\);_("$"* "-"??_);_(@_)</c:formatCode>
                <c:ptCount val="6"/>
                <c:pt idx="0">
                  <c:v>324.726</c:v>
                </c:pt>
                <c:pt idx="1">
                  <c:v>283.53800000000001</c:v>
                </c:pt>
                <c:pt idx="2">
                  <c:v>315.30020000000002</c:v>
                </c:pt>
                <c:pt idx="3">
                  <c:v>341.67559999999997</c:v>
                </c:pt>
                <c:pt idx="4">
                  <c:v>352.00890000000004</c:v>
                </c:pt>
                <c:pt idx="5">
                  <c:v>367</c:v>
                </c:pt>
              </c:numCache>
            </c:numRef>
          </c:val>
          <c:extLst>
            <c:ext xmlns:c16="http://schemas.microsoft.com/office/drawing/2014/chart" uri="{C3380CC4-5D6E-409C-BE32-E72D297353CC}">
              <c16:uniqueId val="{0000000D-9AFA-4E09-AC08-2FC9F1C69F6A}"/>
            </c:ext>
          </c:extLst>
        </c:ser>
        <c:dLbls>
          <c:dLblPos val="ctr"/>
          <c:showLegendKey val="0"/>
          <c:showVal val="1"/>
          <c:showCatName val="0"/>
          <c:showSerName val="0"/>
          <c:showPercent val="0"/>
          <c:showBubbleSize val="0"/>
        </c:dLbls>
        <c:gapWidth val="150"/>
        <c:overlap val="100"/>
        <c:axId val="408049663"/>
        <c:axId val="408039583"/>
      </c:barChart>
      <c:catAx>
        <c:axId val="40804966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039583"/>
        <c:crosses val="autoZero"/>
        <c:auto val="1"/>
        <c:lblAlgn val="ctr"/>
        <c:lblOffset val="100"/>
        <c:noMultiLvlLbl val="0"/>
      </c:catAx>
      <c:valAx>
        <c:axId val="408039583"/>
        <c:scaling>
          <c:orientation val="minMax"/>
        </c:scaling>
        <c:delete val="0"/>
        <c:axPos val="l"/>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049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Sheet1!$B$24</c:f>
              <c:strCache>
                <c:ptCount val="1"/>
                <c:pt idx="0">
                  <c:v>State Support</c:v>
                </c:pt>
              </c:strCache>
            </c:strRef>
          </c:tx>
          <c:spPr>
            <a:solidFill>
              <a:schemeClr val="accent4">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Sheet1!$A$31:$A$36</c:f>
              <c:strCache>
                <c:ptCount val="6"/>
                <c:pt idx="0">
                  <c:v>2019-20</c:v>
                </c:pt>
                <c:pt idx="1">
                  <c:v>2020-21</c:v>
                </c:pt>
                <c:pt idx="2">
                  <c:v>2021-22</c:v>
                </c:pt>
                <c:pt idx="3">
                  <c:v>2022-23</c:v>
                </c:pt>
                <c:pt idx="4">
                  <c:v>2023-24</c:v>
                </c:pt>
                <c:pt idx="5">
                  <c:v>2024-25</c:v>
                </c:pt>
              </c:strCache>
            </c:strRef>
          </c:cat>
          <c:val>
            <c:numRef>
              <c:f>Sheet1!$B$31:$B$36</c:f>
              <c:numCache>
                <c:formatCode>_("$"* #,##0_);_("$"* \(#,##0\);_("$"* "-"??_);_(@_)</c:formatCode>
                <c:ptCount val="6"/>
                <c:pt idx="0">
                  <c:v>149</c:v>
                </c:pt>
                <c:pt idx="1">
                  <c:v>143</c:v>
                </c:pt>
                <c:pt idx="2">
                  <c:v>149</c:v>
                </c:pt>
                <c:pt idx="3">
                  <c:v>149</c:v>
                </c:pt>
                <c:pt idx="4">
                  <c:v>175</c:v>
                </c:pt>
                <c:pt idx="5">
                  <c:v>187</c:v>
                </c:pt>
              </c:numCache>
            </c:numRef>
          </c:val>
          <c:extLst>
            <c:ext xmlns:c16="http://schemas.microsoft.com/office/drawing/2014/chart" uri="{C3380CC4-5D6E-409C-BE32-E72D297353CC}">
              <c16:uniqueId val="{00000000-FA41-48D5-8685-B84E87AC20A0}"/>
            </c:ext>
          </c:extLst>
        </c:ser>
        <c:ser>
          <c:idx val="1"/>
          <c:order val="1"/>
          <c:tx>
            <c:strRef>
              <c:f>Sheet1!$C$24</c:f>
              <c:strCache>
                <c:ptCount val="1"/>
                <c:pt idx="0">
                  <c:v>Campus Revenue</c:v>
                </c:pt>
              </c:strCache>
            </c:strRef>
          </c:tx>
          <c:spPr>
            <a:solidFill>
              <a:schemeClr val="accent4">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Sheet1!$A$31:$A$36</c:f>
              <c:strCache>
                <c:ptCount val="6"/>
                <c:pt idx="0">
                  <c:v>2019-20</c:v>
                </c:pt>
                <c:pt idx="1">
                  <c:v>2020-21</c:v>
                </c:pt>
                <c:pt idx="2">
                  <c:v>2021-22</c:v>
                </c:pt>
                <c:pt idx="3">
                  <c:v>2022-23</c:v>
                </c:pt>
                <c:pt idx="4">
                  <c:v>2023-24</c:v>
                </c:pt>
                <c:pt idx="5">
                  <c:v>2024-25</c:v>
                </c:pt>
              </c:strCache>
            </c:strRef>
          </c:cat>
          <c:val>
            <c:numRef>
              <c:f>Sheet1!$C$31:$C$36</c:f>
              <c:numCache>
                <c:formatCode>_("$"* #,##0_);_("$"* \(#,##0\);_("$"* "-"??_);_(@_)</c:formatCode>
                <c:ptCount val="6"/>
                <c:pt idx="0">
                  <c:v>325</c:v>
                </c:pt>
                <c:pt idx="1">
                  <c:v>284</c:v>
                </c:pt>
                <c:pt idx="2">
                  <c:v>315</c:v>
                </c:pt>
                <c:pt idx="3">
                  <c:v>342</c:v>
                </c:pt>
                <c:pt idx="4">
                  <c:v>352</c:v>
                </c:pt>
                <c:pt idx="5">
                  <c:v>367</c:v>
                </c:pt>
              </c:numCache>
            </c:numRef>
          </c:val>
          <c:extLst>
            <c:ext xmlns:c16="http://schemas.microsoft.com/office/drawing/2014/chart" uri="{C3380CC4-5D6E-409C-BE32-E72D297353CC}">
              <c16:uniqueId val="{00000001-FA41-48D5-8685-B84E87AC20A0}"/>
            </c:ext>
          </c:extLst>
        </c:ser>
        <c:ser>
          <c:idx val="2"/>
          <c:order val="2"/>
          <c:tx>
            <c:strRef>
              <c:f>Sheet1!$D$24</c:f>
              <c:strCache>
                <c:ptCount val="1"/>
                <c:pt idx="0">
                  <c:v>Debt Service</c:v>
                </c:pt>
              </c:strCache>
            </c:strRef>
          </c:tx>
          <c:spPr>
            <a:solidFill>
              <a:schemeClr val="accent4">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Sheet1!$A$31:$A$36</c:f>
              <c:strCache>
                <c:ptCount val="6"/>
                <c:pt idx="0">
                  <c:v>2019-20</c:v>
                </c:pt>
                <c:pt idx="1">
                  <c:v>2020-21</c:v>
                </c:pt>
                <c:pt idx="2">
                  <c:v>2021-22</c:v>
                </c:pt>
                <c:pt idx="3">
                  <c:v>2022-23</c:v>
                </c:pt>
                <c:pt idx="4">
                  <c:v>2023-24</c:v>
                </c:pt>
                <c:pt idx="5">
                  <c:v>2024-25</c:v>
                </c:pt>
              </c:strCache>
            </c:strRef>
          </c:cat>
          <c:val>
            <c:numRef>
              <c:f>Sheet1!$D$31:$D$36</c:f>
              <c:numCache>
                <c:formatCode>_("$"* #,##0_);_("$"* \(#,##0\);_("$"* "-"??_);_(@_)</c:formatCode>
                <c:ptCount val="6"/>
                <c:pt idx="0">
                  <c:v>53</c:v>
                </c:pt>
                <c:pt idx="1">
                  <c:v>58</c:v>
                </c:pt>
                <c:pt idx="2">
                  <c:v>67</c:v>
                </c:pt>
                <c:pt idx="3">
                  <c:v>132</c:v>
                </c:pt>
                <c:pt idx="4">
                  <c:v>81</c:v>
                </c:pt>
                <c:pt idx="5">
                  <c:v>79</c:v>
                </c:pt>
              </c:numCache>
            </c:numRef>
          </c:val>
          <c:extLst>
            <c:ext xmlns:c16="http://schemas.microsoft.com/office/drawing/2014/chart" uri="{C3380CC4-5D6E-409C-BE32-E72D297353CC}">
              <c16:uniqueId val="{00000002-FA41-48D5-8685-B84E87AC20A0}"/>
            </c:ext>
          </c:extLst>
        </c:ser>
        <c:ser>
          <c:idx val="3"/>
          <c:order val="3"/>
          <c:tx>
            <c:strRef>
              <c:f>Sheet1!$E$24</c:f>
              <c:strCache>
                <c:ptCount val="1"/>
                <c:pt idx="0">
                  <c:v>Fringe Estimate</c:v>
                </c:pt>
              </c:strCache>
            </c:strRef>
          </c:tx>
          <c:spPr>
            <a:solidFill>
              <a:schemeClr val="accent4">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Sheet1!$A$31:$A$36</c:f>
              <c:strCache>
                <c:ptCount val="6"/>
                <c:pt idx="0">
                  <c:v>2019-20</c:v>
                </c:pt>
                <c:pt idx="1">
                  <c:v>2020-21</c:v>
                </c:pt>
                <c:pt idx="2">
                  <c:v>2021-22</c:v>
                </c:pt>
                <c:pt idx="3">
                  <c:v>2022-23</c:v>
                </c:pt>
                <c:pt idx="4">
                  <c:v>2023-24</c:v>
                </c:pt>
                <c:pt idx="5">
                  <c:v>2024-25</c:v>
                </c:pt>
              </c:strCache>
            </c:strRef>
          </c:cat>
          <c:val>
            <c:numRef>
              <c:f>Sheet1!$E$31:$E$36</c:f>
              <c:numCache>
                <c:formatCode>_("$"* #,##0_);_("$"* \(#,##0\);_("$"* "-"??_);_(@_)</c:formatCode>
                <c:ptCount val="6"/>
                <c:pt idx="0">
                  <c:v>268</c:v>
                </c:pt>
                <c:pt idx="1">
                  <c:v>255</c:v>
                </c:pt>
                <c:pt idx="2">
                  <c:v>270</c:v>
                </c:pt>
                <c:pt idx="3">
                  <c:v>282</c:v>
                </c:pt>
                <c:pt idx="4">
                  <c:v>329</c:v>
                </c:pt>
                <c:pt idx="5">
                  <c:v>350</c:v>
                </c:pt>
              </c:numCache>
            </c:numRef>
          </c:val>
          <c:extLst>
            <c:ext xmlns:c16="http://schemas.microsoft.com/office/drawing/2014/chart" uri="{C3380CC4-5D6E-409C-BE32-E72D297353CC}">
              <c16:uniqueId val="{00000003-FA41-48D5-8685-B84E87AC20A0}"/>
            </c:ext>
          </c:extLst>
        </c:ser>
        <c:dLbls>
          <c:dLblPos val="ctr"/>
          <c:showLegendKey val="0"/>
          <c:showVal val="1"/>
          <c:showCatName val="0"/>
          <c:showSerName val="0"/>
          <c:showPercent val="0"/>
          <c:showBubbleSize val="0"/>
        </c:dLbls>
        <c:gapWidth val="150"/>
        <c:overlap val="100"/>
        <c:axId val="407990623"/>
        <c:axId val="407982463"/>
      </c:barChart>
      <c:catAx>
        <c:axId val="40799062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982463"/>
        <c:crosses val="autoZero"/>
        <c:auto val="1"/>
        <c:lblAlgn val="ctr"/>
        <c:lblOffset val="100"/>
        <c:noMultiLvlLbl val="0"/>
      </c:catAx>
      <c:valAx>
        <c:axId val="407982463"/>
        <c:scaling>
          <c:orientation val="minMax"/>
          <c:max val="1000"/>
        </c:scaling>
        <c:delete val="0"/>
        <c:axPos val="l"/>
        <c:numFmt formatCode="_(&quot;$&quot;* #,##0_);_(&quot;$&quot;* \(#,##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990623"/>
        <c:crosses val="autoZero"/>
        <c:crossBetween val="between"/>
        <c:majorUnit val="2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Fall Enrollment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Sheet1!$A$7:$A$13</c:f>
              <c:strCache>
                <c:ptCount val="7"/>
                <c:pt idx="0">
                  <c:v>2019/20</c:v>
                </c:pt>
                <c:pt idx="1">
                  <c:v>2020/21</c:v>
                </c:pt>
                <c:pt idx="2">
                  <c:v>2021/22</c:v>
                </c:pt>
                <c:pt idx="3">
                  <c:v>2022/23</c:v>
                </c:pt>
                <c:pt idx="4">
                  <c:v>2023/24</c:v>
                </c:pt>
                <c:pt idx="5">
                  <c:v>2024/25</c:v>
                </c:pt>
                <c:pt idx="6">
                  <c:v>2025/26</c:v>
                </c:pt>
              </c:strCache>
            </c:strRef>
          </c:cat>
          <c:val>
            <c:numRef>
              <c:f>Sheet1!$B$7:$B$13</c:f>
              <c:numCache>
                <c:formatCode>_(* #,##0_);_(* \(#,##0\);_(* "-"??_);_(@_)</c:formatCode>
                <c:ptCount val="7"/>
                <c:pt idx="0">
                  <c:v>30078</c:v>
                </c:pt>
                <c:pt idx="1">
                  <c:v>30439</c:v>
                </c:pt>
                <c:pt idx="2">
                  <c:v>30523</c:v>
                </c:pt>
                <c:pt idx="3">
                  <c:v>30452</c:v>
                </c:pt>
                <c:pt idx="4">
                  <c:v>30381</c:v>
                </c:pt>
                <c:pt idx="5">
                  <c:v>30546</c:v>
                </c:pt>
                <c:pt idx="6">
                  <c:v>30386</c:v>
                </c:pt>
              </c:numCache>
            </c:numRef>
          </c:val>
          <c:extLst>
            <c:ext xmlns:c16="http://schemas.microsoft.com/office/drawing/2014/chart" uri="{C3380CC4-5D6E-409C-BE32-E72D297353CC}">
              <c16:uniqueId val="{00000000-4220-4003-943A-1BA1EED13A58}"/>
            </c:ext>
          </c:extLst>
        </c:ser>
        <c:dLbls>
          <c:showLegendKey val="0"/>
          <c:showVal val="0"/>
          <c:showCatName val="0"/>
          <c:showSerName val="0"/>
          <c:showPercent val="0"/>
          <c:showBubbleSize val="0"/>
        </c:dLbls>
        <c:gapWidth val="219"/>
        <c:overlap val="-27"/>
        <c:axId val="1411337696"/>
        <c:axId val="1411338176"/>
      </c:barChart>
      <c:catAx>
        <c:axId val="141133769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338176"/>
        <c:crosses val="autoZero"/>
        <c:auto val="1"/>
        <c:lblAlgn val="ctr"/>
        <c:lblOffset val="100"/>
        <c:noMultiLvlLbl val="0"/>
      </c:catAx>
      <c:valAx>
        <c:axId val="1411338176"/>
        <c:scaling>
          <c:orientation val="minMax"/>
        </c:scaling>
        <c:delete val="1"/>
        <c:axPos val="l"/>
        <c:numFmt formatCode="_(* #,##0_);_(* \(#,##0\);_(* &quot;-&quot;??_);_(@_)" sourceLinked="1"/>
        <c:majorTickMark val="none"/>
        <c:minorTickMark val="none"/>
        <c:tickLblPos val="nextTo"/>
        <c:crossAx val="1411337696"/>
        <c:crosses val="autoZero"/>
        <c:crossBetween val="between"/>
      </c:valAx>
      <c:spPr>
        <a:noFill/>
        <a:ln w="25400">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Fall Tuition Revenue Per Student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Sheet1!$A$5:$A$11</c:f>
              <c:strCache>
                <c:ptCount val="7"/>
                <c:pt idx="0">
                  <c:v>2019/20</c:v>
                </c:pt>
                <c:pt idx="1">
                  <c:v>2020/21</c:v>
                </c:pt>
                <c:pt idx="2">
                  <c:v>2021/22</c:v>
                </c:pt>
                <c:pt idx="3">
                  <c:v>2022/23</c:v>
                </c:pt>
                <c:pt idx="4">
                  <c:v>2023/24</c:v>
                </c:pt>
                <c:pt idx="5">
                  <c:v>2024/25</c:v>
                </c:pt>
                <c:pt idx="6">
                  <c:v>2025/26</c:v>
                </c:pt>
              </c:strCache>
            </c:strRef>
          </c:cat>
          <c:val>
            <c:numRef>
              <c:f>Sheet1!$B$5:$B$11</c:f>
              <c:numCache>
                <c:formatCode>_("$"* #,##0_);_("$"* \(#,##0\);_("$"* "-"??_);_(@_)</c:formatCode>
                <c:ptCount val="7"/>
                <c:pt idx="0">
                  <c:v>5895</c:v>
                </c:pt>
                <c:pt idx="1">
                  <c:v>5659</c:v>
                </c:pt>
                <c:pt idx="2">
                  <c:v>6051</c:v>
                </c:pt>
                <c:pt idx="3">
                  <c:v>6085</c:v>
                </c:pt>
                <c:pt idx="4">
                  <c:v>6048</c:v>
                </c:pt>
                <c:pt idx="5">
                  <c:v>6032</c:v>
                </c:pt>
                <c:pt idx="6">
                  <c:v>5778</c:v>
                </c:pt>
              </c:numCache>
            </c:numRef>
          </c:val>
          <c:extLst>
            <c:ext xmlns:c16="http://schemas.microsoft.com/office/drawing/2014/chart" uri="{C3380CC4-5D6E-409C-BE32-E72D297353CC}">
              <c16:uniqueId val="{00000000-4A7D-455D-846E-62EB2B30A3C8}"/>
            </c:ext>
          </c:extLst>
        </c:ser>
        <c:dLbls>
          <c:showLegendKey val="0"/>
          <c:showVal val="0"/>
          <c:showCatName val="0"/>
          <c:showSerName val="0"/>
          <c:showPercent val="0"/>
          <c:showBubbleSize val="0"/>
        </c:dLbls>
        <c:gapWidth val="219"/>
        <c:overlap val="-27"/>
        <c:axId val="1406789200"/>
        <c:axId val="1406790640"/>
      </c:barChart>
      <c:catAx>
        <c:axId val="14067892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790640"/>
        <c:crosses val="autoZero"/>
        <c:auto val="1"/>
        <c:lblAlgn val="ctr"/>
        <c:lblOffset val="100"/>
        <c:noMultiLvlLbl val="0"/>
      </c:catAx>
      <c:valAx>
        <c:axId val="1406790640"/>
        <c:scaling>
          <c:orientation val="minMax"/>
        </c:scaling>
        <c:delete val="1"/>
        <c:axPos val="l"/>
        <c:numFmt formatCode="_(&quot;$&quot;* #,##0_);_(&quot;$&quot;* \(#,##0\);_(&quot;$&quot;* &quot;-&quot;??_);_(@_)" sourceLinked="1"/>
        <c:majorTickMark val="none"/>
        <c:minorTickMark val="none"/>
        <c:tickLblPos val="nextTo"/>
        <c:crossAx val="140678920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b="1" baseline="0">
                <a:solidFill>
                  <a:sysClr val="windowText" lastClr="000000"/>
                </a:solidFill>
              </a:rPr>
              <a:t>Research Expenditures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'[Chart in Microsoft Word]Sheet1'!$C$16:$C$22</c:f>
              <c:strCache>
                <c:ptCount val="7"/>
                <c:pt idx="0">
                  <c:v>2019/20</c:v>
                </c:pt>
                <c:pt idx="1">
                  <c:v>2020/21</c:v>
                </c:pt>
                <c:pt idx="2">
                  <c:v>2021/22</c:v>
                </c:pt>
                <c:pt idx="3">
                  <c:v>2022/23</c:v>
                </c:pt>
                <c:pt idx="4">
                  <c:v>2023/24</c:v>
                </c:pt>
                <c:pt idx="5">
                  <c:v>2024/25</c:v>
                </c:pt>
                <c:pt idx="6">
                  <c:v>2025/26</c:v>
                </c:pt>
              </c:strCache>
            </c:strRef>
          </c:cat>
          <c:val>
            <c:numRef>
              <c:f>'[Chart in Microsoft Word]Sheet1'!$D$16:$D$21</c:f>
            </c:numRef>
          </c:val>
          <c:extLst>
            <c:ext xmlns:c16="http://schemas.microsoft.com/office/drawing/2014/chart" uri="{C3380CC4-5D6E-409C-BE32-E72D297353CC}">
              <c16:uniqueId val="{00000000-542B-418B-873C-00EA9A3D0F6F}"/>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'[Chart in Microsoft Word]Sheet1'!$C$16:$C$22</c:f>
              <c:strCache>
                <c:ptCount val="7"/>
                <c:pt idx="0">
                  <c:v>2019/20</c:v>
                </c:pt>
                <c:pt idx="1">
                  <c:v>2020/21</c:v>
                </c:pt>
                <c:pt idx="2">
                  <c:v>2021/22</c:v>
                </c:pt>
                <c:pt idx="3">
                  <c:v>2022/23</c:v>
                </c:pt>
                <c:pt idx="4">
                  <c:v>2023/24</c:v>
                </c:pt>
                <c:pt idx="5">
                  <c:v>2024/25</c:v>
                </c:pt>
                <c:pt idx="6">
                  <c:v>2025/26</c:v>
                </c:pt>
              </c:strCache>
            </c:strRef>
          </c:cat>
          <c:val>
            <c:numRef>
              <c:f>'[Chart in Microsoft Word]Sheet1'!$E$16:$E$21</c:f>
            </c:numRef>
          </c:val>
          <c:extLst>
            <c:ext xmlns:c16="http://schemas.microsoft.com/office/drawing/2014/chart" uri="{C3380CC4-5D6E-409C-BE32-E72D297353CC}">
              <c16:uniqueId val="{00000001-542B-418B-873C-00EA9A3D0F6F}"/>
            </c:ext>
          </c:extLst>
        </c:ser>
        <c:ser>
          <c:idx val="2"/>
          <c:order val="2"/>
          <c:spPr>
            <a:solidFill>
              <a:schemeClr val="tx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'[Chart in Microsoft Word]Sheet1'!$C$16:$C$22</c:f>
              <c:strCache>
                <c:ptCount val="7"/>
                <c:pt idx="0">
                  <c:v>2019/20</c:v>
                </c:pt>
                <c:pt idx="1">
                  <c:v>2020/21</c:v>
                </c:pt>
                <c:pt idx="2">
                  <c:v>2021/22</c:v>
                </c:pt>
                <c:pt idx="3">
                  <c:v>2022/23</c:v>
                </c:pt>
                <c:pt idx="4">
                  <c:v>2023/24</c:v>
                </c:pt>
                <c:pt idx="5">
                  <c:v>2024/25</c:v>
                </c:pt>
                <c:pt idx="6">
                  <c:v>2025/26</c:v>
                </c:pt>
              </c:strCache>
            </c:strRef>
          </c:cat>
          <c:val>
            <c:numRef>
              <c:f>'[Chart in Microsoft Word]Sheet1'!$F$16:$F$22</c:f>
              <c:numCache>
                <c:formatCode>_("$"* #,##0.0_);_("$"* \(#,##0.0\);_("$"* "-"??_);_(@_)</c:formatCode>
                <c:ptCount val="7"/>
                <c:pt idx="0">
                  <c:v>178.4</c:v>
                </c:pt>
                <c:pt idx="1">
                  <c:v>188.6</c:v>
                </c:pt>
                <c:pt idx="2">
                  <c:v>201.08882918999998</c:v>
                </c:pt>
                <c:pt idx="3">
                  <c:v>232.39381993000001</c:v>
                </c:pt>
                <c:pt idx="4">
                  <c:v>249.27838277000001</c:v>
                </c:pt>
                <c:pt idx="5">
                  <c:v>259.10000000000002</c:v>
                </c:pt>
                <c:pt idx="6">
                  <c:v>225.5</c:v>
                </c:pt>
              </c:numCache>
            </c:numRef>
          </c:val>
          <c:extLst>
            <c:ext xmlns:c16="http://schemas.microsoft.com/office/drawing/2014/chart" uri="{C3380CC4-5D6E-409C-BE32-E72D297353CC}">
              <c16:uniqueId val="{00000002-542B-418B-873C-00EA9A3D0F6F}"/>
            </c:ext>
          </c:extLst>
        </c:ser>
        <c:dLbls>
          <c:dLblPos val="outEnd"/>
          <c:showLegendKey val="0"/>
          <c:showVal val="1"/>
          <c:showCatName val="0"/>
          <c:showSerName val="0"/>
          <c:showPercent val="0"/>
          <c:showBubbleSize val="0"/>
        </c:dLbls>
        <c:gapWidth val="219"/>
        <c:overlap val="-27"/>
        <c:axId val="1753287727"/>
        <c:axId val="1753272367"/>
      </c:barChart>
      <c:catAx>
        <c:axId val="175328772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53272367"/>
        <c:crosses val="autoZero"/>
        <c:auto val="1"/>
        <c:lblAlgn val="ctr"/>
        <c:lblOffset val="100"/>
        <c:noMultiLvlLbl val="0"/>
      </c:catAx>
      <c:valAx>
        <c:axId val="1753272367"/>
        <c:scaling>
          <c:orientation val="minMax"/>
        </c:scaling>
        <c:delete val="1"/>
        <c:axPos val="l"/>
        <c:numFmt formatCode="_(&quot;$&quot;* #,##0.0_);_(&quot;$&quot;* \(#,##0.0\);_(&quot;$&quot;* &quot;-&quot;??_);_(@_)" sourceLinked="1"/>
        <c:majorTickMark val="none"/>
        <c:minorTickMark val="none"/>
        <c:tickLblPos val="nextTo"/>
        <c:crossAx val="1753287727"/>
        <c:crosses val="autoZero"/>
        <c:crossBetween val="between"/>
      </c:valAx>
      <c:spPr>
        <a:noFill/>
        <a:ln w="25400">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Graphs!$A$35:$A$41</cx:f>
        <cx:lvl ptCount="7">
          <cx:pt idx="0">25/26 Ending Balance</cx:pt>
          <cx:pt idx="1">26/27 Change</cx:pt>
          <cx:pt idx="2">27/28 Change</cx:pt>
          <cx:pt idx="3">28/29 Change</cx:pt>
          <cx:pt idx="4">29/30 Change</cx:pt>
          <cx:pt idx="5">30/31 Change</cx:pt>
          <cx:pt idx="6">30/31 Ending Balance</cx:pt>
        </cx:lvl>
      </cx:strDim>
      <cx:numDim type="val">
        <cx:f>Graphs!$B$35:$B$41</cx:f>
        <cx:lvl ptCount="7" formatCode="_(&quot;$&quot;* #,##0_);_(&quot;$&quot;* \(#,##0\);_(&quot;$&quot;* &quot;-&quot;??_);_(@_)">
          <cx:pt idx="0">204</cx:pt>
          <cx:pt idx="1">-90</cx:pt>
          <cx:pt idx="2">-12</cx:pt>
          <cx:pt idx="3">0</cx:pt>
          <cx:pt idx="4">21</cx:pt>
          <cx:pt idx="5">23</cx:pt>
          <cx:pt idx="6">146</cx:pt>
        </cx:lvl>
      </cx:numDim>
    </cx:data>
  </cx:chartData>
  <cx:chart>
    <cx:plotArea>
      <cx:plotAreaRegion>
        <cx:series layoutId="waterfall" uniqueId="{3EAFF07C-7949-4404-8D65-CEB9365EB4F8}">
          <cx:spPr>
            <a:solidFill>
              <a:srgbClr val="FFC000"/>
            </a:solidFill>
          </cx:spPr>
          <cx:dataPt idx="0">
            <cx:spPr>
              <a:solidFill>
                <a:srgbClr val="00B050"/>
              </a:solidFill>
            </cx:spPr>
          </cx:dataPt>
          <cx:dataPt idx="1">
            <cx:spPr>
              <a:solidFill>
                <a:srgbClr val="FF0000"/>
              </a:solidFill>
            </cx:spPr>
          </cx:dataPt>
          <cx:dataPt idx="2">
            <cx:spPr>
              <a:solidFill>
                <a:srgbClr val="FF0000"/>
              </a:solidFill>
            </cx:spPr>
          </cx:dataPt>
          <cx:dataPt idx="3">
            <cx:spPr>
              <a:solidFill>
                <a:srgbClr val="0E2841">
                  <a:lumMod val="50000"/>
                  <a:lumOff val="50000"/>
                </a:srgbClr>
              </a:solidFill>
            </cx:spPr>
          </cx:dataPt>
          <cx:dataPt idx="4">
            <cx:spPr>
              <a:solidFill>
                <a:srgbClr val="0E2841">
                  <a:lumMod val="50000"/>
                  <a:lumOff val="50000"/>
                </a:srgbClr>
              </a:solidFill>
            </cx:spPr>
          </cx:dataPt>
          <cx:dataPt idx="5">
            <cx:spPr>
              <a:solidFill>
                <a:srgbClr val="0E2841">
                  <a:lumMod val="50000"/>
                  <a:lumOff val="50000"/>
                </a:srgbClr>
              </a:solidFill>
            </cx:spPr>
          </cx:dataPt>
          <cx:dataPt idx="6">
            <cx:spPr>
              <a:solidFill>
                <a:srgbClr val="00B050"/>
              </a:solidFill>
            </cx:spPr>
          </cx:dataPt>
          <cx:dataLabels pos="outEnd">
            <cx:txPr>
              <a:bodyPr spcFirstLastPara="1" vertOverflow="ellipsis" horzOverflow="overflow" wrap="square" lIns="0" tIns="0" rIns="0" bIns="0" anchor="ctr" anchorCtr="1"/>
              <a:lstStyle/>
              <a:p>
                <a:pPr algn="ctr" rtl="0">
                  <a:defRPr sz="1200" b="1"/>
                </a:pPr>
                <a:endParaRPr lang="en-US" sz="1200" b="1" i="0" u="none" strike="noStrike" baseline="0">
                  <a:solidFill>
                    <a:prstClr val="black">
                      <a:lumMod val="65000"/>
                      <a:lumOff val="35000"/>
                    </a:prstClr>
                  </a:solidFill>
                  <a:latin typeface="Aptos Narrow" panose="02110004020202020204"/>
                </a:endParaRPr>
              </a:p>
            </cx:txPr>
            <cx:visibility seriesName="0" categoryName="0" value="1"/>
          </cx:dataLabels>
          <cx:dataId val="0"/>
          <cx:layoutPr>
            <cx:visibility connectorLines="1"/>
            <cx:subtotals>
              <cx:idx val="6"/>
            </cx:subtotals>
          </cx:layoutPr>
        </cx:series>
      </cx:plotAreaRegion>
      <cx:axis id="0">
        <cx:catScaling gapWidth="0.5"/>
        <cx:tickLabels/>
        <cx:txPr>
          <a:bodyPr spcFirstLastPara="1" vertOverflow="ellipsis" horzOverflow="overflow" wrap="square" lIns="0" tIns="0" rIns="0" bIns="0" anchor="ctr" anchorCtr="1"/>
          <a:lstStyle/>
          <a:p>
            <a:pPr algn="ctr" rtl="0">
              <a:defRPr sz="700"/>
            </a:pPr>
            <a:endParaRPr lang="en-US" sz="700" b="0" i="0" u="none" strike="noStrike" baseline="0">
              <a:solidFill>
                <a:prstClr val="black">
                  <a:lumMod val="65000"/>
                  <a:lumOff val="35000"/>
                </a:prstClr>
              </a:solidFill>
              <a:latin typeface="Aptos Narrow" panose="02110004020202020204"/>
            </a:endParaRPr>
          </a:p>
        </cx:txPr>
      </cx:axis>
      <cx:axis id="1">
        <cx:valScaling/>
        <cx:tickLabels/>
        <cx:txPr>
          <a:bodyPr spcFirstLastPara="1" vertOverflow="ellipsis" horzOverflow="overflow" wrap="square" lIns="0" tIns="0" rIns="0" bIns="0" anchor="ctr" anchorCtr="1"/>
          <a:lstStyle/>
          <a:p>
            <a:pPr algn="ctr" rtl="0">
              <a:defRPr sz="1000"/>
            </a:pPr>
            <a:endParaRPr lang="en-US" sz="1000" b="0" i="0" u="none" strike="noStrike" baseline="0">
              <a:solidFill>
                <a:prstClr val="black">
                  <a:lumMod val="65000"/>
                  <a:lumOff val="35000"/>
                </a:prstClr>
              </a:solidFill>
              <a:latin typeface="Aptos Narrow" panose="02110004020202020204"/>
            </a:endParaRPr>
          </a:p>
        </cx:txPr>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Funded!$B$68:$B$72</cx:f>
        <cx:lvl ptCount="5">
          <cx:pt idx="0">Growing Faculty, Research and Recognition</cx:pt>
          <cx:pt idx="1">Enhancing the Campus Environment</cx:pt>
          <cx:pt idx="2">Building Exceptional Academic Programs</cx:pt>
          <cx:pt idx="3">Providing Strong Academic and Student Support</cx:pt>
          <cx:pt idx="4">Providing Budget Support</cx:pt>
        </cx:lvl>
      </cx:strDim>
      <cx:numDim type="size">
        <cx:f>Funded!$F$68:$F$72</cx:f>
        <cx:lvl ptCount="5" formatCode="_(&quot;$&quot;* #,##0_);_(&quot;$&quot;* \(#,##0\);_(&quot;$&quot;* &quot;-&quot;??_);_(@_)">
          <cx:pt idx="0">21</cx:pt>
          <cx:pt idx="1">10</cx:pt>
          <cx:pt idx="2">5</cx:pt>
          <cx:pt idx="3">40</cx:pt>
          <cx:pt idx="4">179</cx:pt>
        </cx:lvl>
      </cx:numDim>
    </cx:data>
  </cx:chartData>
  <cx:chart>
    <cx:plotArea>
      <cx:plotAreaRegion>
        <cx:series layoutId="treemap" uniqueId="{3AF15AA6-61A4-4484-8875-7C8E250410BB}">
          <cx:dataLabels pos="inEnd">
            <cx:txPr>
              <a:bodyPr spcFirstLastPara="1" vertOverflow="ellipsis" horzOverflow="overflow" wrap="square" lIns="0" tIns="0" rIns="0" bIns="0" anchor="ctr" anchorCtr="1"/>
              <a:lstStyle/>
              <a:p>
                <a:pPr algn="ctr" rtl="0">
                  <a:defRPr sz="1200"/>
                </a:pPr>
                <a:endParaRPr lang="en-US" sz="1200" b="0" i="0" u="none" strike="noStrike" baseline="0">
                  <a:solidFill>
                    <a:srgbClr val="FFFFFF"/>
                  </a:solidFill>
                  <a:latin typeface="Arial" panose="020B0604020202020204"/>
                </a:endParaRPr>
              </a:p>
            </cx:txPr>
            <cx:visibility seriesName="0" categoryName="1" value="1"/>
            <cx:separator>, </cx:separator>
            <cx:dataLabel idx="0" pos="inEnd">
              <cx:txPr>
                <a:bodyPr spcFirstLastPara="1" vertOverflow="ellipsis" horzOverflow="overflow" wrap="square" lIns="0" tIns="0" rIns="0" bIns="0" anchor="ctr" anchorCtr="1"/>
                <a:lstStyle/>
                <a:p>
                  <a:pPr algn="ctr" rtl="0">
                    <a:defRPr sz="1200"/>
                  </a:pPr>
                  <a:r>
                    <a:rPr lang="en-US" sz="1200" b="0" i="0" u="none" strike="noStrike" baseline="0">
                      <a:solidFill>
                        <a:srgbClr val="FFFFFF"/>
                      </a:solidFill>
                      <a:latin typeface="Arial" panose="020B0604020202020204"/>
                    </a:rPr>
                    <a:t>Growing Faculty, Research and Recognition,  $21 </a:t>
                  </a:r>
                </a:p>
              </cx:txPr>
              <cx:visibility seriesName="0" categoryName="1" value="1"/>
              <cx:separator>, </cx:separator>
            </cx:dataLabel>
            <cx:dataLabel idx="1" pos="inEnd">
              <cx:txPr>
                <a:bodyPr spcFirstLastPara="1" vertOverflow="ellipsis" horzOverflow="overflow" wrap="square" lIns="0" tIns="0" rIns="0" bIns="0" anchor="ctr" anchorCtr="1"/>
                <a:lstStyle/>
                <a:p>
                  <a:pPr algn="ctr" rtl="0">
                    <a:defRPr sz="900"/>
                  </a:pPr>
                  <a:r>
                    <a:rPr lang="en-US" sz="900" b="0" i="0" u="none" strike="noStrike" baseline="0">
                      <a:solidFill>
                        <a:srgbClr val="FFFFFF"/>
                      </a:solidFill>
                      <a:latin typeface="Arial" panose="020B0604020202020204"/>
                    </a:rPr>
                    <a:t>Enhancing the Campus Environment,  $10 </a:t>
                  </a:r>
                </a:p>
              </cx:txPr>
              <cx:visibility seriesName="0" categoryName="1" value="1"/>
              <cx:separator>, </cx:separator>
            </cx:dataLabel>
            <cx:dataLabel idx="2" pos="inEnd">
              <cx:txPr>
                <a:bodyPr spcFirstLastPara="1" vertOverflow="ellipsis" horzOverflow="overflow" wrap="square" lIns="0" tIns="0" rIns="0" bIns="0" anchor="ctr" anchorCtr="1"/>
                <a:lstStyle/>
                <a:p>
                  <a:pPr algn="ctr" rtl="0">
                    <a:defRPr sz="800"/>
                  </a:pPr>
                  <a:r>
                    <a:rPr lang="en-US" sz="800" b="0" i="0" u="none" strike="noStrike" baseline="0">
                      <a:solidFill>
                        <a:srgbClr val="FFFFFF"/>
                      </a:solidFill>
                      <a:latin typeface="Arial" panose="020B0604020202020204"/>
                    </a:rPr>
                    <a:t>Building Exceptional Academic Programs,  $5 </a:t>
                  </a:r>
                </a:p>
              </cx:txPr>
              <cx:visibility seriesName="0" categoryName="1" value="1"/>
              <cx:separator>, </cx:separator>
            </cx:dataLabel>
            <cx:dataLabel idx="3" pos="inEnd">
              <cx:txPr>
                <a:bodyPr spcFirstLastPara="1" vertOverflow="ellipsis" horzOverflow="overflow" wrap="square" lIns="0" tIns="0" rIns="0" bIns="0" anchor="ctr" anchorCtr="1"/>
                <a:lstStyle/>
                <a:p>
                  <a:pPr algn="ctr" rtl="0">
                    <a:defRPr sz="1400"/>
                  </a:pPr>
                  <a:r>
                    <a:rPr lang="en-US" sz="1400" b="0" i="0" u="none" strike="noStrike" baseline="0">
                      <a:solidFill>
                        <a:srgbClr val="FFFFFF"/>
                      </a:solidFill>
                      <a:latin typeface="Arial" panose="020B0604020202020204"/>
                    </a:rPr>
                    <a:t>Providing Strong Academic and Student Support,  $40 </a:t>
                  </a:r>
                </a:p>
              </cx:txPr>
              <cx:visibility seriesName="0" categoryName="1" value="1"/>
              <cx:separator>, </cx:separator>
            </cx:dataLabel>
            <cx:dataLabel idx="4" pos="inEnd">
              <cx:txPr>
                <a:bodyPr spcFirstLastPara="1" vertOverflow="ellipsis" horzOverflow="overflow" wrap="square" lIns="0" tIns="0" rIns="0" bIns="0" anchor="ctr" anchorCtr="1"/>
                <a:lstStyle/>
                <a:p>
                  <a:pPr algn="ctr" rtl="0">
                    <a:defRPr sz="2000"/>
                  </a:pPr>
                  <a:r>
                    <a:rPr lang="en-US" sz="2000" b="0" i="0" u="none" strike="noStrike" baseline="0">
                      <a:solidFill>
                        <a:srgbClr val="FFFFFF"/>
                      </a:solidFill>
                      <a:latin typeface="Arial" panose="020B0604020202020204"/>
                    </a:rPr>
                    <a:t>Providing Budget Support,  $179 </a:t>
                  </a:r>
                </a:p>
              </cx:txPr>
              <cx:visibility seriesName="0" categoryName="1" value="1"/>
              <cx:separator>, </cx:separator>
            </cx:dataLabel>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7A6B14D-E9F3-42AE-818F-1FC0F3559CDF}"/>
      </w:docPartPr>
      <w:docPartBody>
        <w:p w:rsidR="00245F43" w:rsidRDefault="009C7E70">
          <w:r w:rsidRPr="00207967">
            <w:rPr>
              <w:rStyle w:val="PlaceholderText"/>
            </w:rPr>
            <w:t>Click or tap here to enter text.</w:t>
          </w:r>
        </w:p>
      </w:docPartBody>
    </w:docPart>
    <w:docPart>
      <w:docPartPr>
        <w:name w:val="CF44B5C5215C4A34BD3EFA5AAFFEF23C"/>
        <w:category>
          <w:name w:val="General"/>
          <w:gallery w:val="placeholder"/>
        </w:category>
        <w:types>
          <w:type w:val="bbPlcHdr"/>
        </w:types>
        <w:behaviors>
          <w:behavior w:val="content"/>
        </w:behaviors>
        <w:guid w:val="{C2978638-94CB-40B0-9823-D07610DED638}"/>
      </w:docPartPr>
      <w:docPartBody>
        <w:p w:rsidR="00BB5C3B" w:rsidRDefault="009C7E70" w:rsidP="00EC5878">
          <w:pPr>
            <w:pStyle w:val="CF44B5C5215C4A34BD3EFA5AAFFEF23C"/>
          </w:pPr>
          <w:r w:rsidRPr="00597235">
            <w:rPr>
              <w:rStyle w:val="PlaceholderText"/>
            </w:rPr>
            <w:t>Click or tap here to enter text.</w:t>
          </w:r>
        </w:p>
      </w:docPartBody>
    </w:docPart>
    <w:docPart>
      <w:docPartPr>
        <w:name w:val="984FAF0D1DC34A95A5FE759E821D4039"/>
        <w:category>
          <w:name w:val="General"/>
          <w:gallery w:val="placeholder"/>
        </w:category>
        <w:types>
          <w:type w:val="bbPlcHdr"/>
        </w:types>
        <w:behaviors>
          <w:behavior w:val="content"/>
        </w:behaviors>
        <w:guid w:val="{93295BFA-FEE1-4A23-9794-8089B0DADC77}"/>
      </w:docPartPr>
      <w:docPartBody>
        <w:p w:rsidR="00BB5C3B" w:rsidRDefault="009C7E70" w:rsidP="00EC5878">
          <w:pPr>
            <w:pStyle w:val="984FAF0D1DC34A95A5FE759E821D4039"/>
          </w:pPr>
          <w:r w:rsidRPr="00597235">
            <w:rPr>
              <w:rStyle w:val="PlaceholderText"/>
            </w:rPr>
            <w:t>Click or tap here to enter text.</w:t>
          </w:r>
        </w:p>
      </w:docPartBody>
    </w:docPart>
    <w:docPart>
      <w:docPartPr>
        <w:name w:val="6EA132C343634C4AAE795146A05687C0"/>
        <w:category>
          <w:name w:val="General"/>
          <w:gallery w:val="placeholder"/>
        </w:category>
        <w:types>
          <w:type w:val="bbPlcHdr"/>
        </w:types>
        <w:behaviors>
          <w:behavior w:val="content"/>
        </w:behaviors>
        <w:guid w:val="{0A5068EB-6CA3-43D8-816C-D397A85E1F25}"/>
      </w:docPartPr>
      <w:docPartBody>
        <w:p w:rsidR="00BB5C3B" w:rsidRDefault="009C7E70" w:rsidP="00EC5878">
          <w:pPr>
            <w:pStyle w:val="6EA132C343634C4AAE795146A05687C0"/>
          </w:pPr>
          <w:r w:rsidRPr="00207967">
            <w:rPr>
              <w:rStyle w:val="PlaceholderText"/>
            </w:rPr>
            <w:t>Click or tap here to enter text.</w:t>
          </w:r>
        </w:p>
      </w:docPartBody>
    </w:docPart>
    <w:docPart>
      <w:docPartPr>
        <w:name w:val="EED5010623C94AE59E1ACFA98725516C"/>
        <w:category>
          <w:name w:val="General"/>
          <w:gallery w:val="placeholder"/>
        </w:category>
        <w:types>
          <w:type w:val="bbPlcHdr"/>
        </w:types>
        <w:behaviors>
          <w:behavior w:val="content"/>
        </w:behaviors>
        <w:guid w:val="{B2F64826-8C2E-47CA-BB18-2E2D116C1162}"/>
      </w:docPartPr>
      <w:docPartBody>
        <w:p w:rsidR="00BB5C3B" w:rsidRDefault="009C7E70" w:rsidP="00EC5878">
          <w:pPr>
            <w:pStyle w:val="EED5010623C94AE59E1ACFA98725516C"/>
          </w:pPr>
          <w:r w:rsidRPr="00597235">
            <w:rPr>
              <w:rStyle w:val="PlaceholderText"/>
            </w:rPr>
            <w:t>Click or tap here to enter text.</w:t>
          </w:r>
        </w:p>
      </w:docPartBody>
    </w:docPart>
    <w:docPart>
      <w:docPartPr>
        <w:name w:val="5CCCE36E0BFA4A408432BEDEF9A08095"/>
        <w:category>
          <w:name w:val="General"/>
          <w:gallery w:val="placeholder"/>
        </w:category>
        <w:types>
          <w:type w:val="bbPlcHdr"/>
        </w:types>
        <w:behaviors>
          <w:behavior w:val="content"/>
        </w:behaviors>
        <w:guid w:val="{D6421534-B0C0-4379-B707-4E19EEA03332}"/>
      </w:docPartPr>
      <w:docPartBody>
        <w:p w:rsidR="00BB5C3B" w:rsidRDefault="009C7E70" w:rsidP="00EC5878">
          <w:pPr>
            <w:pStyle w:val="5CCCE36E0BFA4A408432BEDEF9A08095"/>
          </w:pPr>
          <w:r w:rsidRPr="00CE406F">
            <w:rPr>
              <w:rStyle w:val="PlaceholderText"/>
            </w:rPr>
            <w:t>Click or tap here to enter text.</w:t>
          </w:r>
        </w:p>
      </w:docPartBody>
    </w:docPart>
    <w:docPart>
      <w:docPartPr>
        <w:name w:val="A223FC39C7714D5797C1A3E843FFF939"/>
        <w:category>
          <w:name w:val="General"/>
          <w:gallery w:val="placeholder"/>
        </w:category>
        <w:types>
          <w:type w:val="bbPlcHdr"/>
        </w:types>
        <w:behaviors>
          <w:behavior w:val="content"/>
        </w:behaviors>
        <w:guid w:val="{2D511E16-7601-47E7-AA36-E314D89D0C92}"/>
      </w:docPartPr>
      <w:docPartBody>
        <w:p w:rsidR="00BB5C3B" w:rsidRDefault="009C7E70" w:rsidP="00EC5878">
          <w:pPr>
            <w:pStyle w:val="A223FC39C7714D5797C1A3E843FFF939"/>
          </w:pPr>
          <w:r w:rsidRPr="00597235">
            <w:rPr>
              <w:rStyle w:val="PlaceholderText"/>
            </w:rPr>
            <w:t>Click or tap here to enter text.</w:t>
          </w:r>
        </w:p>
      </w:docPartBody>
    </w:docPart>
    <w:docPart>
      <w:docPartPr>
        <w:name w:val="623F10E032DB4AE7B6110F97A5385175"/>
        <w:category>
          <w:name w:val="General"/>
          <w:gallery w:val="placeholder"/>
        </w:category>
        <w:types>
          <w:type w:val="bbPlcHdr"/>
        </w:types>
        <w:behaviors>
          <w:behavior w:val="content"/>
        </w:behaviors>
        <w:guid w:val="{1BA59235-13A0-4140-892D-0BFBF93A4753}"/>
      </w:docPartPr>
      <w:docPartBody>
        <w:p w:rsidR="00BB5C3B" w:rsidRDefault="009C7E70" w:rsidP="00EC5878">
          <w:pPr>
            <w:pStyle w:val="623F10E032DB4AE7B6110F97A5385175"/>
          </w:pPr>
          <w:r w:rsidRPr="00597235">
            <w:rPr>
              <w:rStyle w:val="PlaceholderText"/>
            </w:rPr>
            <w:t>Click or tap here to enter text.</w:t>
          </w:r>
        </w:p>
      </w:docPartBody>
    </w:docPart>
    <w:docPart>
      <w:docPartPr>
        <w:name w:val="2ED78820470C47FFAFB54005205E9995"/>
        <w:category>
          <w:name w:val="General"/>
          <w:gallery w:val="placeholder"/>
        </w:category>
        <w:types>
          <w:type w:val="bbPlcHdr"/>
        </w:types>
        <w:behaviors>
          <w:behavior w:val="content"/>
        </w:behaviors>
        <w:guid w:val="{8218D137-FC02-480E-A13C-301161D8744E}"/>
      </w:docPartPr>
      <w:docPartBody>
        <w:p w:rsidR="00BB5C3B" w:rsidRDefault="009C7E70" w:rsidP="00EC5878">
          <w:pPr>
            <w:pStyle w:val="2ED78820470C47FFAFB54005205E9995"/>
          </w:pPr>
          <w:r>
            <w:rPr>
              <w:rStyle w:val="PlaceholderText1"/>
            </w:rPr>
            <w:t>Click here to enter text.</w:t>
          </w:r>
        </w:p>
      </w:docPartBody>
    </w:docPart>
    <w:docPart>
      <w:docPartPr>
        <w:name w:val="900C9CACE0314776A807CA0E8F274133"/>
        <w:category>
          <w:name w:val="General"/>
          <w:gallery w:val="placeholder"/>
        </w:category>
        <w:types>
          <w:type w:val="bbPlcHdr"/>
        </w:types>
        <w:behaviors>
          <w:behavior w:val="content"/>
        </w:behaviors>
        <w:guid w:val="{2A907E36-18EA-4FC3-9291-6AA4F9FD48B2}"/>
      </w:docPartPr>
      <w:docPartBody>
        <w:p w:rsidR="00BB5C3B" w:rsidRDefault="009C7E70" w:rsidP="00EC5878">
          <w:pPr>
            <w:pStyle w:val="900C9CACE0314776A807CA0E8F274133"/>
          </w:pPr>
          <w:r w:rsidRPr="001569AE">
            <w:rPr>
              <w:rStyle w:val="PlaceholderText"/>
            </w:rPr>
            <w:t>Click or tap here to enter text.</w:t>
          </w:r>
        </w:p>
      </w:docPartBody>
    </w:docPart>
    <w:docPart>
      <w:docPartPr>
        <w:name w:val="A378A4A4410F4832A488C77F210186EC"/>
        <w:category>
          <w:name w:val="General"/>
          <w:gallery w:val="placeholder"/>
        </w:category>
        <w:types>
          <w:type w:val="bbPlcHdr"/>
        </w:types>
        <w:behaviors>
          <w:behavior w:val="content"/>
        </w:behaviors>
        <w:guid w:val="{BC90ECC8-A946-4DE1-9F3C-8B943EEE8AC8}"/>
      </w:docPartPr>
      <w:docPartBody>
        <w:p w:rsidR="00BB5C3B" w:rsidRDefault="009C7E70" w:rsidP="00EC5878">
          <w:pPr>
            <w:pStyle w:val="A378A4A4410F4832A488C77F210186EC"/>
          </w:pPr>
          <w:r>
            <w:rPr>
              <w:rStyle w:val="PlaceholderText1"/>
            </w:rPr>
            <w:t>Click here to enter text.</w:t>
          </w:r>
        </w:p>
      </w:docPartBody>
    </w:docPart>
    <w:docPart>
      <w:docPartPr>
        <w:name w:val="D89DCBF239004DC8B5C2422046D30705"/>
        <w:category>
          <w:name w:val="General"/>
          <w:gallery w:val="placeholder"/>
        </w:category>
        <w:types>
          <w:type w:val="bbPlcHdr"/>
        </w:types>
        <w:behaviors>
          <w:behavior w:val="content"/>
        </w:behaviors>
        <w:guid w:val="{8D44BBA7-7318-4DDD-9BAA-76B018A66D46}"/>
      </w:docPartPr>
      <w:docPartBody>
        <w:p w:rsidR="00BB5C3B" w:rsidRDefault="009C7E70" w:rsidP="00EC5878">
          <w:pPr>
            <w:pStyle w:val="D89DCBF239004DC8B5C2422046D30705"/>
          </w:pPr>
          <w:r>
            <w:rPr>
              <w:rStyle w:val="PlaceholderText1"/>
            </w:rPr>
            <w:t>Click here to enter text.</w:t>
          </w:r>
        </w:p>
      </w:docPartBody>
    </w:docPart>
    <w:docPart>
      <w:docPartPr>
        <w:name w:val="31C3DD9C3A994677B938B0918D2D9943"/>
        <w:category>
          <w:name w:val="General"/>
          <w:gallery w:val="placeholder"/>
        </w:category>
        <w:types>
          <w:type w:val="bbPlcHdr"/>
        </w:types>
        <w:behaviors>
          <w:behavior w:val="content"/>
        </w:behaviors>
        <w:guid w:val="{7CBFDD66-8556-4BA3-9ED8-5BCFC3276D9A}"/>
      </w:docPartPr>
      <w:docPartBody>
        <w:p w:rsidR="000F1F2E" w:rsidRDefault="009C7E70" w:rsidP="00E201A9">
          <w:pPr>
            <w:pStyle w:val="31C3DD9C3A994677B938B0918D2D9943"/>
          </w:pPr>
          <w:r w:rsidRPr="00597235">
            <w:rPr>
              <w:rStyle w:val="PlaceholderText"/>
            </w:rPr>
            <w:t>Click or tap here to enter text.</w:t>
          </w:r>
        </w:p>
      </w:docPartBody>
    </w:docPart>
    <w:docPart>
      <w:docPartPr>
        <w:name w:val="86A1A541C73F4D32AC7D4B0E2B0AD475"/>
        <w:category>
          <w:name w:val="General"/>
          <w:gallery w:val="placeholder"/>
        </w:category>
        <w:types>
          <w:type w:val="bbPlcHdr"/>
        </w:types>
        <w:behaviors>
          <w:behavior w:val="content"/>
        </w:behaviors>
        <w:guid w:val="{16F568E7-B1AB-4CB6-90AE-B6E451AAA7A4}"/>
      </w:docPartPr>
      <w:docPartBody>
        <w:p w:rsidR="00E25B85" w:rsidRDefault="009C7E70" w:rsidP="00EB4BEC">
          <w:pPr>
            <w:pStyle w:val="86A1A541C73F4D32AC7D4B0E2B0AD475"/>
          </w:pPr>
          <w:r w:rsidRPr="000172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fia Pro Black">
    <w:altName w:val="Arial"/>
    <w:panose1 w:val="020B0000000000000000"/>
    <w:charset w:val="00"/>
    <w:family w:val="swiss"/>
    <w:notTrueType/>
    <w:pitch w:val="variable"/>
    <w:sig w:usb0="A000002F" w:usb1="5000004B"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CA"/>
    <w:rsid w:val="00010D24"/>
    <w:rsid w:val="000242BB"/>
    <w:rsid w:val="00083B28"/>
    <w:rsid w:val="00090099"/>
    <w:rsid w:val="00092D3F"/>
    <w:rsid w:val="000940ED"/>
    <w:rsid w:val="000B6CB1"/>
    <w:rsid w:val="000F1F2E"/>
    <w:rsid w:val="000F4846"/>
    <w:rsid w:val="00100210"/>
    <w:rsid w:val="00135941"/>
    <w:rsid w:val="00163245"/>
    <w:rsid w:val="001C07E8"/>
    <w:rsid w:val="001C26C2"/>
    <w:rsid w:val="00240E3D"/>
    <w:rsid w:val="00241A32"/>
    <w:rsid w:val="00245F43"/>
    <w:rsid w:val="00267454"/>
    <w:rsid w:val="00291720"/>
    <w:rsid w:val="002C15FD"/>
    <w:rsid w:val="002C1EC0"/>
    <w:rsid w:val="002E0E3C"/>
    <w:rsid w:val="003058E7"/>
    <w:rsid w:val="00324E57"/>
    <w:rsid w:val="003548E8"/>
    <w:rsid w:val="00382F43"/>
    <w:rsid w:val="00393CBB"/>
    <w:rsid w:val="00396A09"/>
    <w:rsid w:val="003E1DF6"/>
    <w:rsid w:val="003F44A3"/>
    <w:rsid w:val="004A54B4"/>
    <w:rsid w:val="004F0C8E"/>
    <w:rsid w:val="0057139E"/>
    <w:rsid w:val="005765B7"/>
    <w:rsid w:val="00583799"/>
    <w:rsid w:val="005871DC"/>
    <w:rsid w:val="00596C90"/>
    <w:rsid w:val="005E5025"/>
    <w:rsid w:val="00600B9F"/>
    <w:rsid w:val="006015C2"/>
    <w:rsid w:val="006372D8"/>
    <w:rsid w:val="006A1EC7"/>
    <w:rsid w:val="006A22B2"/>
    <w:rsid w:val="00702B56"/>
    <w:rsid w:val="00702C16"/>
    <w:rsid w:val="00722F22"/>
    <w:rsid w:val="0072592A"/>
    <w:rsid w:val="00727698"/>
    <w:rsid w:val="00747A9F"/>
    <w:rsid w:val="007554E4"/>
    <w:rsid w:val="0076304A"/>
    <w:rsid w:val="007761DA"/>
    <w:rsid w:val="00787FB9"/>
    <w:rsid w:val="00794CD1"/>
    <w:rsid w:val="007A1106"/>
    <w:rsid w:val="007B0E91"/>
    <w:rsid w:val="007F6C38"/>
    <w:rsid w:val="008129C7"/>
    <w:rsid w:val="00840FFD"/>
    <w:rsid w:val="008554EE"/>
    <w:rsid w:val="00870C9D"/>
    <w:rsid w:val="00871D7D"/>
    <w:rsid w:val="008A6E95"/>
    <w:rsid w:val="00910920"/>
    <w:rsid w:val="00911C89"/>
    <w:rsid w:val="009437E3"/>
    <w:rsid w:val="0095734A"/>
    <w:rsid w:val="009A6BB3"/>
    <w:rsid w:val="009A7084"/>
    <w:rsid w:val="009B5D17"/>
    <w:rsid w:val="009C08FC"/>
    <w:rsid w:val="009C7E70"/>
    <w:rsid w:val="009E4AAC"/>
    <w:rsid w:val="009E4FC0"/>
    <w:rsid w:val="00A11A4D"/>
    <w:rsid w:val="00A15C74"/>
    <w:rsid w:val="00A5340D"/>
    <w:rsid w:val="00A8208A"/>
    <w:rsid w:val="00A904FC"/>
    <w:rsid w:val="00AA18A1"/>
    <w:rsid w:val="00AA5BAF"/>
    <w:rsid w:val="00AB7690"/>
    <w:rsid w:val="00AE215C"/>
    <w:rsid w:val="00B0596D"/>
    <w:rsid w:val="00B204C0"/>
    <w:rsid w:val="00B205BC"/>
    <w:rsid w:val="00B33700"/>
    <w:rsid w:val="00B435CE"/>
    <w:rsid w:val="00B54FFF"/>
    <w:rsid w:val="00B658BB"/>
    <w:rsid w:val="00BB424C"/>
    <w:rsid w:val="00BB5C3B"/>
    <w:rsid w:val="00BC20CE"/>
    <w:rsid w:val="00BE54CF"/>
    <w:rsid w:val="00C10DBC"/>
    <w:rsid w:val="00C22494"/>
    <w:rsid w:val="00C37480"/>
    <w:rsid w:val="00C5128A"/>
    <w:rsid w:val="00C66718"/>
    <w:rsid w:val="00C74213"/>
    <w:rsid w:val="00CA3729"/>
    <w:rsid w:val="00CA5980"/>
    <w:rsid w:val="00CA73A3"/>
    <w:rsid w:val="00CB05B6"/>
    <w:rsid w:val="00CD404E"/>
    <w:rsid w:val="00CE5A5E"/>
    <w:rsid w:val="00CE7D39"/>
    <w:rsid w:val="00CF00B5"/>
    <w:rsid w:val="00CF3CE9"/>
    <w:rsid w:val="00D2586D"/>
    <w:rsid w:val="00D42F96"/>
    <w:rsid w:val="00D62A5A"/>
    <w:rsid w:val="00D8236D"/>
    <w:rsid w:val="00D83C3F"/>
    <w:rsid w:val="00D964E3"/>
    <w:rsid w:val="00DC3F5C"/>
    <w:rsid w:val="00DD06FE"/>
    <w:rsid w:val="00DD721C"/>
    <w:rsid w:val="00DE6BCA"/>
    <w:rsid w:val="00E01F91"/>
    <w:rsid w:val="00E201A9"/>
    <w:rsid w:val="00E25B85"/>
    <w:rsid w:val="00E40B59"/>
    <w:rsid w:val="00E42E92"/>
    <w:rsid w:val="00E845FC"/>
    <w:rsid w:val="00EA16D3"/>
    <w:rsid w:val="00EA5347"/>
    <w:rsid w:val="00EB4BEC"/>
    <w:rsid w:val="00EC251B"/>
    <w:rsid w:val="00EC5878"/>
    <w:rsid w:val="00EF7578"/>
    <w:rsid w:val="00F05A1E"/>
    <w:rsid w:val="00F11C9A"/>
    <w:rsid w:val="00F61C53"/>
    <w:rsid w:val="00F756E6"/>
    <w:rsid w:val="00F83839"/>
    <w:rsid w:val="00FD4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BEC"/>
    <w:rPr>
      <w:color w:val="666666"/>
    </w:rPr>
  </w:style>
  <w:style w:type="character" w:customStyle="1" w:styleId="PlaceholderText1">
    <w:name w:val="Placeholder Text1"/>
    <w:basedOn w:val="DefaultParagraphFont"/>
    <w:uiPriority w:val="99"/>
    <w:semiHidden/>
    <w:rsid w:val="00EC5878"/>
    <w:rPr>
      <w:color w:val="808080"/>
    </w:rPr>
  </w:style>
  <w:style w:type="paragraph" w:customStyle="1" w:styleId="CF44B5C5215C4A34BD3EFA5AAFFEF23C">
    <w:name w:val="CF44B5C5215C4A34BD3EFA5AAFFEF23C"/>
    <w:rsid w:val="00EC5878"/>
  </w:style>
  <w:style w:type="paragraph" w:customStyle="1" w:styleId="984FAF0D1DC34A95A5FE759E821D4039">
    <w:name w:val="984FAF0D1DC34A95A5FE759E821D4039"/>
    <w:rsid w:val="00EC5878"/>
  </w:style>
  <w:style w:type="paragraph" w:customStyle="1" w:styleId="6EA132C343634C4AAE795146A05687C0">
    <w:name w:val="6EA132C343634C4AAE795146A05687C0"/>
    <w:rsid w:val="00EC5878"/>
  </w:style>
  <w:style w:type="paragraph" w:customStyle="1" w:styleId="EED5010623C94AE59E1ACFA98725516C">
    <w:name w:val="EED5010623C94AE59E1ACFA98725516C"/>
    <w:rsid w:val="00EC5878"/>
  </w:style>
  <w:style w:type="paragraph" w:customStyle="1" w:styleId="5CCCE36E0BFA4A408432BEDEF9A08095">
    <w:name w:val="5CCCE36E0BFA4A408432BEDEF9A08095"/>
    <w:rsid w:val="00EC5878"/>
  </w:style>
  <w:style w:type="paragraph" w:customStyle="1" w:styleId="A223FC39C7714D5797C1A3E843FFF939">
    <w:name w:val="A223FC39C7714D5797C1A3E843FFF939"/>
    <w:rsid w:val="00EC5878"/>
  </w:style>
  <w:style w:type="paragraph" w:customStyle="1" w:styleId="623F10E032DB4AE7B6110F97A5385175">
    <w:name w:val="623F10E032DB4AE7B6110F97A5385175"/>
    <w:rsid w:val="00EC5878"/>
  </w:style>
  <w:style w:type="paragraph" w:customStyle="1" w:styleId="2ED78820470C47FFAFB54005205E9995">
    <w:name w:val="2ED78820470C47FFAFB54005205E9995"/>
    <w:rsid w:val="00EC5878"/>
  </w:style>
  <w:style w:type="paragraph" w:customStyle="1" w:styleId="900C9CACE0314776A807CA0E8F274133">
    <w:name w:val="900C9CACE0314776A807CA0E8F274133"/>
    <w:rsid w:val="00EC5878"/>
  </w:style>
  <w:style w:type="paragraph" w:customStyle="1" w:styleId="A378A4A4410F4832A488C77F210186EC">
    <w:name w:val="A378A4A4410F4832A488C77F210186EC"/>
    <w:rsid w:val="00EC5878"/>
  </w:style>
  <w:style w:type="paragraph" w:customStyle="1" w:styleId="D89DCBF239004DC8B5C2422046D30705">
    <w:name w:val="D89DCBF239004DC8B5C2422046D30705"/>
    <w:rsid w:val="00EC5878"/>
  </w:style>
  <w:style w:type="paragraph" w:customStyle="1" w:styleId="31C3DD9C3A994677B938B0918D2D9943">
    <w:name w:val="31C3DD9C3A994677B938B0918D2D9943"/>
    <w:rsid w:val="00E201A9"/>
  </w:style>
  <w:style w:type="paragraph" w:customStyle="1" w:styleId="86A1A541C73F4D32AC7D4B0E2B0AD475">
    <w:name w:val="86A1A541C73F4D32AC7D4B0E2B0AD475"/>
    <w:rsid w:val="00EB4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B BRAND">
      <a:dk1>
        <a:srgbClr val="005BBB"/>
      </a:dk1>
      <a:lt1>
        <a:srgbClr val="FFFFFF"/>
      </a:lt1>
      <a:dk2>
        <a:srgbClr val="990000"/>
      </a:dk2>
      <a:lt2>
        <a:srgbClr val="E4E4E4"/>
      </a:lt2>
      <a:accent1>
        <a:srgbClr val="2F9FD0"/>
      </a:accent1>
      <a:accent2>
        <a:srgbClr val="E56A54"/>
      </a:accent2>
      <a:accent3>
        <a:srgbClr val="666666"/>
      </a:accent3>
      <a:accent4>
        <a:srgbClr val="FFC72C"/>
      </a:accent4>
      <a:accent5>
        <a:srgbClr val="AD841F"/>
      </a:accent5>
      <a:accent6>
        <a:srgbClr val="6DA04B"/>
      </a:accent6>
      <a:hlink>
        <a:srgbClr val="002F56"/>
      </a:hlink>
      <a:folHlink>
        <a:srgbClr val="00A69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UB Color Palette">
    <a:dk1>
      <a:srgbClr val="666666"/>
    </a:dk1>
    <a:lt1>
      <a:srgbClr val="FFFFFF"/>
    </a:lt1>
    <a:dk2>
      <a:srgbClr val="005BBB"/>
    </a:dk2>
    <a:lt2>
      <a:srgbClr val="FFFFFF"/>
    </a:lt2>
    <a:accent1>
      <a:srgbClr val="005BBB"/>
    </a:accent1>
    <a:accent2>
      <a:srgbClr val="41B6E6"/>
    </a:accent2>
    <a:accent3>
      <a:srgbClr val="E56D54"/>
    </a:accent3>
    <a:accent4>
      <a:srgbClr val="666666"/>
    </a:accent4>
    <a:accent5>
      <a:srgbClr val="007681"/>
    </a:accent5>
    <a:accent6>
      <a:srgbClr val="003E51"/>
    </a:accent6>
    <a:hlink>
      <a:srgbClr val="186BB7"/>
    </a:hlink>
    <a:folHlink>
      <a:srgbClr val="D86A4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UB Color Palette">
    <a:dk1>
      <a:srgbClr val="666666"/>
    </a:dk1>
    <a:lt1>
      <a:srgbClr val="FFFFFF"/>
    </a:lt1>
    <a:dk2>
      <a:srgbClr val="005BBB"/>
    </a:dk2>
    <a:lt2>
      <a:srgbClr val="FFFFFF"/>
    </a:lt2>
    <a:accent1>
      <a:srgbClr val="005BBB"/>
    </a:accent1>
    <a:accent2>
      <a:srgbClr val="41B6E6"/>
    </a:accent2>
    <a:accent3>
      <a:srgbClr val="E56D54"/>
    </a:accent3>
    <a:accent4>
      <a:srgbClr val="666666"/>
    </a:accent4>
    <a:accent5>
      <a:srgbClr val="007681"/>
    </a:accent5>
    <a:accent6>
      <a:srgbClr val="003E51"/>
    </a:accent6>
    <a:hlink>
      <a:srgbClr val="186BB7"/>
    </a:hlink>
    <a:folHlink>
      <a:srgbClr val="D86A4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Oracle>
  <EPRCS>
    <ReportPackageDefinition id="c34c508c-b8af-4246-9d22-029fc0968778">
      <DocletDefinition id="ccba136c-cf76-4e12-a333-fae0d742e4e1"/>
    </ReportPackageDefinition>
  </EPRCS>
</Oracle>
</file>

<file path=customXml/item3.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item key="SV_COMMENTS_LIST_A3F0ABAB-D387-4CB1-A59F-9459101C3EB1">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AF9F5966-C948-4183-996B-573117CFC636}">
  <ds:schemaRefs>
    <ds:schemaRef ds:uri="http://schemas.openxmlformats.org/officeDocument/2006/bibliography"/>
  </ds:schemaRefs>
</ds:datastoreItem>
</file>

<file path=customXml/itemProps2.xml><?xml version="1.0" encoding="utf-8"?>
<ds:datastoreItem xmlns:ds="http://schemas.openxmlformats.org/officeDocument/2006/customXml" ds:itemID="{F7D20930-23D9-42FB-B335-1EA723991E49}">
  <ds:schemaRefs/>
</ds:datastoreItem>
</file>

<file path=customXml/itemProps3.xml><?xml version="1.0" encoding="utf-8"?>
<ds:datastoreItem xmlns:ds="http://schemas.openxmlformats.org/officeDocument/2006/customXml" ds:itemID="{BE4B0973-DF9E-47B9-BD0B-9ABA6D7C897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6909</Words>
  <Characters>40145</Characters>
  <Application>Microsoft Office Word</Application>
  <DocSecurity>8</DocSecurity>
  <Lines>1115</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Annual Operating Budget Report</dc:title>
  <dc:creator>DiNunzio, Peter</dc:creator>
  <cp:lastModifiedBy>Mary Kvetkosky</cp:lastModifiedBy>
  <cp:revision>3</cp:revision>
  <dcterms:created xsi:type="dcterms:W3CDTF">2026-08-12T18:16:00Z</dcterms:created>
  <dcterms:modified xsi:type="dcterms:W3CDTF">2026-08-12T18:17:00Z</dcterms:modified>
</cp:coreProperties>
</file>